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sz w:val="44"/>
        </w:rPr>
        <w:t>Planificación Operativa y Seguimiento — Parada Técnica LT-04</w:t>
      </w:r>
    </w:p>
    <w:p>
      <w:r>
        <w:t>El presente documento recoge la planificación operativa prevista para la parada técnica programada de la línea LT-04, así como las acciones de coordinación, seguimiento y control necesarias para minimizar el impacto sobre la producción industrial.</w:t>
      </w:r>
    </w:p>
    <w:p>
      <w:pPr>
        <w:pStyle w:val="Heading2"/>
      </w:pPr>
      <w:r>
        <w:t>1. Objetivos operativos de la intervención</w:t>
      </w:r>
    </w:p>
    <w:p>
      <w:pPr>
        <w:pStyle w:val="ListBullet"/>
      </w:pPr>
      <w:r>
        <w:t>Garantizar la ejecución segura de las tareas de mantenimiento.</w:t>
      </w:r>
    </w:p>
    <w:p>
      <w:pPr>
        <w:pStyle w:val="ListBullet"/>
      </w:pPr>
      <w:r>
        <w:t>Reducir el tiempo total de parada industrial.</w:t>
      </w:r>
    </w:p>
    <w:p>
      <w:pPr>
        <w:pStyle w:val="ListBullet"/>
      </w:pPr>
      <w:r>
        <w:t>Actualizar sistemas de automatización y control.</w:t>
      </w:r>
    </w:p>
    <w:p>
      <w:pPr>
        <w:pStyle w:val="ListBullet"/>
      </w:pPr>
      <w:r>
        <w:t>Validar el reinicio completo de la línea de producción.</w:t>
      </w:r>
    </w:p>
    <w:p>
      <w:pPr>
        <w:pStyle w:val="ListBullet"/>
      </w:pPr>
      <w:r>
        <w:t>Controlar desviaciones económicas y operativas.</w:t>
      </w:r>
    </w:p>
    <w:p>
      <w:pPr>
        <w:pStyle w:val="Heading2"/>
      </w:pPr>
      <w:r>
        <w:t>2. Cronograma preliminar</w:t>
      </w:r>
    </w:p>
    <w:p>
      <w:r>
        <w:t>La intervención comenzará el día 12 de junio de 2026 a las 06:00 y se prevé su finalización el día 18 de junio de 2026 antes de las 22:00.</w:t>
      </w:r>
    </w:p>
    <w:p>
      <w:r>
        <w:t>Durante las primeras 48 horas se realizará la sustitución de componentes hidráulicos críticos y la actualización de firmware del PLC industrial.</w:t>
      </w:r>
    </w:p>
    <w:p>
      <w:r>
        <w:t>Las validaciones operativas y pruebas de producción se realizarán entre los días 16 y 18 de junio.</w:t>
      </w:r>
    </w:p>
    <w:p>
      <w:pPr>
        <w:pStyle w:val="Heading2"/>
      </w:pPr>
      <w:r>
        <w:t>3. Coordinación entre departamentos</w:t>
      </w:r>
    </w:p>
    <w:p>
      <w:r>
        <w:t>Las áreas de mantenimiento, automatización, operaciones, calidad y prevención deberán realizar reuniones diarias de seguimiento para revisar incidencias, desviaciones y bloqueos detectados.</w:t>
      </w:r>
    </w:p>
    <w:p>
      <w:r>
        <w:t>El proveedor externo deberá confirmar diariamente el estado de suministro de componentes y validar el cumplimiento de los tiempos comprometidos.</w:t>
      </w:r>
    </w:p>
    <w:p>
      <w:pPr>
        <w:pStyle w:val="Heading2"/>
      </w:pPr>
      <w:r>
        <w:t>4. Riesgos operativos identificados</w:t>
      </w:r>
    </w:p>
    <w:p>
      <w:pPr>
        <w:pStyle w:val="ListBullet"/>
      </w:pPr>
      <w:r>
        <w:t>Retrasos en la entrega de válvulas hidráulicas.</w:t>
      </w:r>
    </w:p>
    <w:p>
      <w:pPr>
        <w:pStyle w:val="ListBullet"/>
      </w:pPr>
      <w:r>
        <w:t>Posibles incompatibilidades temporales del nuevo firmware PLC.</w:t>
      </w:r>
    </w:p>
    <w:p>
      <w:pPr>
        <w:pStyle w:val="ListBullet"/>
      </w:pPr>
      <w:r>
        <w:t>Incremento de costes operativos por ampliación de tiempos de parada.</w:t>
      </w:r>
    </w:p>
    <w:p>
      <w:pPr>
        <w:pStyle w:val="ListBullet"/>
      </w:pPr>
      <w:r>
        <w:t>Riesgo de impacto sobre planificación de producción del tercer trimestre.</w:t>
      </w:r>
    </w:p>
    <w:p>
      <w:pPr>
        <w:pStyle w:val="ListBullet"/>
      </w:pPr>
      <w:r>
        <w:t>Desviaciones presupuestarias superiores al umbral previsto.</w:t>
      </w:r>
    </w:p>
    <w:p>
      <w:pPr>
        <w:pStyle w:val="Heading2"/>
      </w:pPr>
      <w:r>
        <w:t>5. Seguimiento económico y presupuestario</w:t>
      </w:r>
    </w:p>
    <w:p>
      <w:r>
        <w:t>Dirección industrial ha solicitado seguimiento diario de desviaciones económicas relacionadas con proveedor externo, mantenimiento correctivo y tiempos de validación.</w:t>
      </w:r>
    </w:p>
    <w:p>
      <w:r>
        <w:t>Cualquier desviación superior al 10% deberá ser comunicada inmediatamente a dirección financiera y operaciones.</w:t>
      </w:r>
    </w:p>
    <w:p>
      <w:r>
        <w:t>El equipo de control presupuestario actualizará diariamente el Excel de seguimiento económico durante toda la intervención.</w:t>
      </w:r>
    </w:p>
    <w:p>
      <w:pPr>
        <w:pStyle w:val="Heading2"/>
      </w:pPr>
      <w:r>
        <w:t>6. Próximos pasos y acciones pendientes</w:t>
      </w:r>
    </w:p>
    <w:p>
      <w:pPr>
        <w:pStyle w:val="ListBullet"/>
      </w:pPr>
      <w:r>
        <w:t>Confirmar disponibilidad completa de componentes críticos.</w:t>
      </w:r>
    </w:p>
    <w:p>
      <w:pPr>
        <w:pStyle w:val="ListBullet"/>
      </w:pPr>
      <w:r>
        <w:t>Validar cronograma definitivo con operaciones.</w:t>
      </w:r>
    </w:p>
    <w:p>
      <w:pPr>
        <w:pStyle w:val="ListBullet"/>
      </w:pPr>
      <w:r>
        <w:t>Actualizar documentación técnica y protocolos de seguridad.</w:t>
      </w:r>
    </w:p>
    <w:p>
      <w:pPr>
        <w:pStyle w:val="ListBullet"/>
      </w:pPr>
      <w:r>
        <w:t>Preparar informe ejecutivo para dirección industrial.</w:t>
      </w:r>
    </w:p>
    <w:p>
      <w:pPr>
        <w:pStyle w:val="ListBullet"/>
      </w:pPr>
      <w:r>
        <w:t>Consolidar reporte final de incidencias y validaciones.</w:t>
      </w:r>
    </w:p>
    <w:p>
      <w:pPr>
        <w:pStyle w:val="Heading2"/>
      </w:pPr>
      <w:r>
        <w:t>7. Conclusión</w:t>
      </w:r>
    </w:p>
    <w:p>
      <w:r>
        <w:t>La correcta coordinación entre departamentos y el seguimiento continuo de riesgos técnicos y económicos serán factores clave para garantizar una parada técnica eficiente y minimizar el impacto sobre la actividad industrial.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A141667DB55541AE9BD05D8EEED319" ma:contentTypeVersion="10" ma:contentTypeDescription="Crear nuevo documento." ma:contentTypeScope="" ma:versionID="ebc80c0f73b964f45b3e9030a665a258">
  <xsd:schema xmlns:xsd="http://www.w3.org/2001/XMLSchema" xmlns:xs="http://www.w3.org/2001/XMLSchema" xmlns:p="http://schemas.microsoft.com/office/2006/metadata/properties" xmlns:ns2="d297e347-4daf-4140-bca2-62069c8f36f6" xmlns:ns3="477e2751-c0d9-469c-9ec2-39f305ecc0bb" targetNamespace="http://schemas.microsoft.com/office/2006/metadata/properties" ma:root="true" ma:fieldsID="6cbb88e483d9fc4a2a7b0ee233e11981" ns2:_="" ns3:_="">
    <xsd:import namespace="d297e347-4daf-4140-bca2-62069c8f36f6"/>
    <xsd:import namespace="477e2751-c0d9-469c-9ec2-39f305ecc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7e347-4daf-4140-bca2-62069c8f3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5eee2df-ca6c-4b8a-871b-03e70374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2751-c0d9-469c-9ec2-39f305ecc0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d9080-abdc-4bfb-a7aa-bae0b3c3ed72}" ma:internalName="TaxCatchAll" ma:showField="CatchAllData" ma:web="477e2751-c0d9-469c-9ec2-39f305ecc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7e347-4daf-4140-bca2-62069c8f36f6">
      <Terms xmlns="http://schemas.microsoft.com/office/infopath/2007/PartnerControls"/>
    </lcf76f155ced4ddcb4097134ff3c332f>
    <TaxCatchAll xmlns="477e2751-c0d9-469c-9ec2-39f305ecc0bb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106CE-4F01-46A6-BFFC-37F9E6E224C7}"/>
</file>

<file path=customXml/itemProps3.xml><?xml version="1.0" encoding="utf-8"?>
<ds:datastoreItem xmlns:ds="http://schemas.openxmlformats.org/officeDocument/2006/customXml" ds:itemID="{20DDC93E-C152-4B4B-B16B-C5971B037ACF}"/>
</file>

<file path=customXml/itemProps4.xml><?xml version="1.0" encoding="utf-8"?>
<ds:datastoreItem xmlns:ds="http://schemas.openxmlformats.org/officeDocument/2006/customXml" ds:itemID="{DE97C3A3-4660-48ED-8304-071D73633D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0x010100D5A141667DB55541AE9BD05D8EEED319</vt:lpwstr>
  </property>
</Properties>
</file>