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comments.xml" ContentType="application/vnd.openxmlformats-officedocument.wordprocessingml.comment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800"/>
      </w:pPr>
      <w:r>
        <w:t xml:space="preserve"/>
      </w:r>
    </w:p>
    <w:p>
      <w:pPr>
        <w:spacing w:after="80" w:before="0"/>
        <w:jc w:val="center"/>
      </w:pPr>
      <w:r>
        <w:rPr>
          <w:rFonts w:ascii="Calibri" w:cs="Calibri" w:eastAsia="Calibri" w:hAnsi="Calibri"/>
          <w:b/>
          <w:bCs/>
          <w:caps/>
          <w:color w:val="546E7A"/>
          <w:sz w:val="22"/>
          <w:szCs w:val="22"/>
        </w:rPr>
        <w:t xml:space="preserve">CORPORACIÓN S.A.</w:t>
      </w:r>
    </w:p>
    <w:p>
      <w:pPr>
        <w:pBdr>
          <w:bottom w:val="single" w:color="1565C0" w:sz="6" w:space="8"/>
        </w:pBdr>
        <w:spacing w:after="120" w:before="0"/>
        <w:jc w:val="center"/>
      </w:pPr>
      <w:r>
        <w:rPr>
          <w:rFonts w:ascii="Calibri" w:cs="Calibri" w:eastAsia="Calibri" w:hAnsi="Calibri"/>
          <w:color w:val="546E7A"/>
          <w:sz w:val="20"/>
          <w:szCs w:val="20"/>
        </w:rPr>
        <w:t xml:space="preserve">Dirección de Transformación Digital</w:t>
      </w:r>
    </w:p>
    <w:p>
      <w:pPr>
        <w:spacing w:after="200" w:before="0"/>
      </w:pPr>
      <w:r>
        <w:t xml:space="preserve"/>
      </w:r>
    </w:p>
    <w:p>
      <w:pPr>
        <w:spacing w:after="80" w:before="0"/>
        <w:jc w:val="center"/>
      </w:pPr>
      <w:r>
        <w:rPr>
          <w:rFonts w:ascii="Calibri" w:cs="Calibri" w:eastAsia="Calibri" w:hAnsi="Calibri"/>
          <w:b/>
          <w:bCs/>
          <w:caps/>
          <w:color w:val="0D2B4E"/>
          <w:sz w:val="36"/>
          <w:szCs w:val="36"/>
        </w:rPr>
        <w:t xml:space="preserve">PLAN INICIAL DE IMPLANTACIÓN DE</w:t>
      </w:r>
    </w:p>
    <w:p>
      <w:pPr>
        <w:spacing w:after="200" w:before="0"/>
        <w:jc w:val="center"/>
      </w:pPr>
      <w:r>
        <w:rPr>
          <w:rFonts w:ascii="Calibri" w:cs="Calibri" w:eastAsia="Calibri" w:hAnsi="Calibri"/>
          <w:b/>
          <w:bCs/>
          <w:caps/>
          <w:color w:val="1565C0"/>
          <w:sz w:val="36"/>
          <w:szCs w:val="36"/>
        </w:rPr>
        <w:t xml:space="preserve">INTELIGENCIA ARTIFICIAL CORPORATIVA</w:t>
      </w:r>
    </w:p>
    <w:p>
      <w:pPr>
        <w:spacing w:after="60" w:before="0"/>
        <w:jc w:val="center"/>
      </w:pPr>
      <w:r>
        <w:rPr>
          <w:rFonts w:ascii="Calibri" w:cs="Calibri" w:eastAsia="Calibri" w:hAnsi="Calibri"/>
          <w:i/>
          <w:iCs/>
          <w:color w:val="546E7A"/>
          <w:sz w:val="22"/>
          <w:szCs w:val="22"/>
        </w:rPr>
        <w:t xml:space="preserve">Propuesta Estratégica · Proyecto Piloto Microsoft Copilot</w:t>
      </w:r>
    </w:p>
    <w:p>
      <w:pPr>
        <w:spacing w:after="300" w:before="0"/>
      </w:pPr>
      <w:r>
        <w:t xml:space="preserve"/>
      </w:r>
    </w:p>
    <w:tbl>
      <w:tblPr>
        <w:tblW w:type="dxa" w:w="5400"/>
        <w:tblBorders>
          <w:top w:val="single" w:color="auto" w:sz="4"/>
          <w:left w:val="single" w:color="auto" w:sz="4"/>
          <w:bottom w:val="single" w:color="auto" w:sz="4"/>
          <w:right w:val="single" w:color="auto" w:sz="4"/>
          <w:insideH w:val="single" w:color="auto" w:sz="4"/>
          <w:insideV w:val="single" w:color="auto" w:sz="4"/>
        </w:tblBorders>
      </w:tblPr>
      <w:tblGrid>
        <w:gridCol w:w="1800"/>
        <w:gridCol w:w="3600"/>
      </w:tblGrid>
      <w:tr>
        <w:tc>
          <w:tcPr>
            <w:tcW w:type="dxa" w:w="180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bCs/>
                <w:color w:val="0D2B4E"/>
                <w:sz w:val="19"/>
                <w:szCs w:val="19"/>
              </w:rPr>
              <w:t xml:space="preserve">Versión</w:t>
            </w:r>
          </w:p>
        </w:tc>
        <w:tc>
          <w:tcPr>
            <w:tcW w:type="dxa" w:w="360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1.0 — Inicial</w:t>
            </w:r>
          </w:p>
        </w:tc>
      </w:tr>
      <w:tr>
        <w:tc>
          <w:tcPr>
            <w:tcW w:type="dxa" w:w="180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bCs/>
                <w:color w:val="0D2B4E"/>
                <w:sz w:val="19"/>
                <w:szCs w:val="19"/>
              </w:rPr>
              <w:t xml:space="preserve">Fecha</w:t>
            </w:r>
          </w:p>
        </w:tc>
        <w:tc>
          <w:tcPr>
            <w:tcW w:type="dxa" w:w="360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Mayo 2025</w:t>
            </w:r>
          </w:p>
        </w:tc>
      </w:tr>
      <w:tr>
        <w:tc>
          <w:tcPr>
            <w:tcW w:type="dxa" w:w="180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bCs/>
                <w:color w:val="0D2B4E"/>
                <w:sz w:val="19"/>
                <w:szCs w:val="19"/>
              </w:rPr>
              <w:t xml:space="preserve">Estado</w:t>
            </w:r>
          </w:p>
        </w:tc>
        <w:tc>
          <w:tcPr>
            <w:tcW w:type="dxa" w:w="360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Propuesta para aprobación</w:t>
            </w:r>
          </w:p>
        </w:tc>
      </w:tr>
      <w:tr>
        <w:tc>
          <w:tcPr>
            <w:tcW w:type="dxa" w:w="180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bCs/>
                <w:color w:val="0D2B4E"/>
                <w:sz w:val="19"/>
                <w:szCs w:val="19"/>
              </w:rPr>
              <w:t xml:space="preserve">Clasificación</w:t>
            </w:r>
          </w:p>
        </w:tc>
        <w:tc>
          <w:tcPr>
            <w:tcW w:type="dxa" w:w="360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Confidencial · Uso interno</w:t>
            </w:r>
          </w:p>
        </w:tc>
      </w:tr>
      <w:tr>
        <w:tc>
          <w:tcPr>
            <w:tcW w:type="dxa" w:w="180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bCs/>
                <w:color w:val="0D2B4E"/>
                <w:sz w:val="19"/>
                <w:szCs w:val="19"/>
              </w:rPr>
              <w:t xml:space="preserve">Responsable</w:t>
            </w:r>
          </w:p>
        </w:tc>
        <w:tc>
          <w:tcPr>
            <w:tcW w:type="dxa" w:w="360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Dirección de Transformación Digital</w:t>
            </w:r>
          </w:p>
        </w:tc>
      </w:tr>
    </w:tbl>
    <w:p>
      <w:pPr>
        <w:pageBreakBefore/>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565C0" w:sz="6"/>
              <w:left w:val="single" w:color="1565C0" w:sz="6"/>
              <w:bottom w:val="single" w:color="1565C0" w:sz="6"/>
              <w:right w:val="single" w:color="1565C0" w:sz="6"/>
            </w:tcBorders>
            <w:shd w:fill="DBEAFE" w:val="clear"/>
            <w:tcMar>
              <w:top w:type="dxa" w:w="120"/>
              <w:left w:type="dxa" w:w="180"/>
              <w:bottom w:type="dxa" w:w="120"/>
              <w:right w:type="dxa" w:w="180"/>
            </w:tcMar>
          </w:tcPr>
          <w:p>
            <w:pPr>
              <w:spacing w:after="60" w:before="0"/>
            </w:pPr>
            <w:r>
              <w:rPr>
                <w:rFonts w:ascii="Calibri" w:cs="Calibri" w:eastAsia="Calibri" w:hAnsi="Calibri"/>
                <w:b/>
                <w:bCs/>
                <w:color w:val="0D2B4E"/>
                <w:sz w:val="20"/>
                <w:szCs w:val="20"/>
              </w:rPr>
              <w:t xml:space="preserve">Resumen ejecutivo</w:t>
            </w:r>
          </w:p>
          <w:p>
            <w:pPr>
              <w:spacing w:after="0" w:before="0"/>
              <w:jc w:val="both"/>
            </w:pPr>
            <w:r>
              <w:rPr>
                <w:rFonts w:ascii="Calibri" w:cs="Calibri" w:eastAsia="Calibri" w:hAnsi="Calibri"/>
                <w:color w:val="1A1A1A"/>
                <w:sz w:val="20"/>
                <w:szCs w:val="20"/>
              </w:rPr>
              <w:t xml:space="preserve">Este documento propone el inicio de un proyecto piloto de adopción de Microsoft Copilot en la organización, con un horizonte de seis meses, implantación gradual por fases y medición continua de resultados. El objetivo es capitalizar las capacidades de la IA generativa para mejorar la productividad, reducir tiempos operativos y construir una cultura digital sostenible, bajo un marco sólido de gobernanza y gestión del cambio.</w:t>
            </w:r>
          </w:p>
        </w:tc>
      </w:tr>
    </w:tbl>
    <w:p>
      <w:pPr>
        <w:spacing w:after="120" w:before="0"/>
      </w:pPr>
      <w:r>
        <w:t xml:space="preserve"/>
      </w:r>
    </w:p>
    <w:p>
      <w:pPr>
        <w:pStyle w:val="Heading1"/>
        <w:pBdr>
          <w:bottom w:val="single" w:color="1565C0" w:sz="6" w:space="4"/>
        </w:pBdr>
        <w:spacing w:after="100" w:before="280"/>
      </w:pPr>
      <w:r>
        <w:rPr>
          <w:rFonts w:ascii="Calibri" w:cs="Calibri" w:eastAsia="Calibri" w:hAnsi="Calibri"/>
          <w:b/>
          <w:bCs/>
          <w:color w:val="0D2B4E"/>
          <w:sz w:val="26"/>
          <w:szCs w:val="26"/>
        </w:rPr>
        <w:t xml:space="preserve">1. Contexto Actual</w:t>
      </w:r>
    </w:p>
    <w:p>
      <w:pPr>
        <w:spacing w:after="100" w:before="0"/>
        <w:jc w:val="both"/>
      </w:pPr>
      <w:r>
        <w:rPr>
          <w:rFonts w:ascii="Calibri" w:cs="Calibri" w:eastAsia="Calibri" w:hAnsi="Calibri"/>
          <w:color w:val="1A1A1A"/>
          <w:sz w:val="20"/>
          <w:szCs w:val="20"/>
        </w:rPr>
        <w:t xml:space="preserve">La organización opera en un entorno de creciente complejidad operativa en el que el volumen de información gestionada, la demanda de agilidad en la toma de decisiones y la presión sobre la eficiencia interna se han incrementado de forma sostenida en los últimos tres ejercicios. La plantilla dedica actualmente una parte significativa de su jornada a tareas de bajo valor diferencial: redacción de correos, elaboración de actas, búsqueda de información en repositorios no estructurados o generación manual de informes periódicos.</w:t>
      </w:r>
    </w:p>
    <w:p>
      <w:pPr>
        <w:spacing w:after="60" w:before="0"/>
      </w:pPr>
      <w:r>
        <w:t xml:space="preserve"/>
      </w:r>
    </w:p>
    <w:p>
      <w:pPr>
        <w:spacing w:after="100" w:before="0"/>
        <w:jc w:val="both"/>
      </w:pPr>
      <w:r>
        <w:rPr>
          <w:rFonts w:ascii="Calibri" w:cs="Calibri" w:eastAsia="Calibri" w:hAnsi="Calibri"/>
          <w:color w:val="1A1A1A"/>
          <w:sz w:val="20"/>
          <w:szCs w:val="20"/>
        </w:rPr>
        <w:t xml:space="preserve">La organización cuenta con una infraestructura Microsoft 365 consolidada (Exchange Online, Teams, SharePoint Online, OneDrive for Business y Power Platform), sobre la que Microsoft ha integrado de forma nativa las capacidades de Copilot. Esta madurez tecnológica preexistente representa una ventaja competitiva para iniciar un proceso de adopción de IA sin necesidad de infraestructura adicional significativa.</w:t>
      </w:r>
    </w:p>
    <w:p>
      <w:pPr>
        <w:spacing w:after="60" w:before="0"/>
      </w:pPr>
      <w:r>
        <w:t xml:space="preserve"/>
      </w:r>
    </w:p>
    <w:p>
      <w:pPr>
        <w:spacing w:after="100" w:before="0"/>
        <w:jc w:val="both"/>
      </w:pPr>
      <w:r>
        <w:rPr>
          <w:rFonts w:ascii="Calibri" w:cs="Calibri" w:eastAsia="Calibri" w:hAnsi="Calibri"/>
          <w:b w:val="false"/>
          <w:bCs w:val="false"/>
          <w:color w:val="1A1A1A"/>
          <w:sz w:val="20"/>
          <w:szCs w:val="20"/>
        </w:rPr>
        <w:t xml:space="preserve">Este plan propone aprovechar ese punto de partida para </w:t>
      </w:r>
      <w:r>
        <w:rPr>
          <w:rFonts w:ascii="Calibri" w:cs="Calibri" w:eastAsia="Calibri" w:hAnsi="Calibri"/>
          <w:b/>
          <w:bCs/>
          <w:color w:val="1A1A1A"/>
          <w:sz w:val="20"/>
          <w:szCs w:val="20"/>
        </w:rPr>
        <w:t xml:space="preserve">transformar el modo en que la organización produce, gestiona y distribuye su conocimiento interno</w:t>
      </w:r>
      <w:r>
        <w:rPr>
          <w:rFonts w:ascii="Calibri" w:cs="Calibri" w:eastAsia="Calibri" w:hAnsi="Calibri"/>
          <w:b w:val="false"/>
          <w:bCs w:val="false"/>
          <w:color w:val="1A1A1A"/>
          <w:sz w:val="20"/>
          <w:szCs w:val="20"/>
        </w:rPr>
        <w:t xml:space="preserve">, con Microsoft Copilot como palanca principal de cambio.</w:t>
      </w:r>
    </w:p>
    <w:p>
      <w:pPr>
        <w:spacing w:after="80" w:before="0"/>
      </w:pPr>
      <w:r>
        <w:t xml:space="preserve"/>
      </w:r>
    </w:p>
    <w:p>
      <w:pPr>
        <w:pStyle w:val="Heading1"/>
        <w:pBdr>
          <w:bottom w:val="single" w:color="1565C0" w:sz="6" w:space="4"/>
        </w:pBdr>
        <w:spacing w:after="100" w:before="280"/>
      </w:pPr>
      <w:r>
        <w:rPr>
          <w:rFonts w:ascii="Calibri" w:cs="Calibri" w:eastAsia="Calibri" w:hAnsi="Calibri"/>
          <w:b/>
          <w:bCs/>
          <w:color w:val="0D2B4E"/>
          <w:sz w:val="26"/>
          <w:szCs w:val="26"/>
        </w:rPr>
        <w:t xml:space="preserve">2. Problemas Detectados</w:t>
      </w:r>
    </w:p>
    <w:p>
      <w:pPr>
        <w:spacing w:after="100" w:before="0"/>
        <w:jc w:val="both"/>
      </w:pPr>
      <w:r>
        <w:rPr>
          <w:rFonts w:ascii="Calibri" w:cs="Calibri" w:eastAsia="Calibri" w:hAnsi="Calibri"/>
          <w:color w:val="1A1A1A"/>
          <w:sz w:val="20"/>
          <w:szCs w:val="20"/>
        </w:rPr>
        <w:t xml:space="preserve">El diagnóstico previo, elaborado a partir de encuestas internas de productividad y entrevistas con responsables de área, ha identificado los siguientes puntos de fricción recurrentes:</w:t>
      </w:r>
    </w:p>
    <w:p>
      <w:pPr>
        <w:spacing w:after="40" w:before="0"/>
      </w:pPr>
      <w:r>
        <w:t xml:space="preserve"/>
      </w:r>
    </w:p>
    <w:p>
      <w:pPr>
        <w:pStyle w:val="ListParagraph"/>
        <w:numPr>
          <w:ilvl w:val="0"/>
          <w:numId w:val="2"/>
        </w:numPr>
        <w:spacing w:after="60" w:before="0"/>
        <w:jc w:val="both"/>
      </w:pPr>
      <w:r>
        <w:rPr>
          <w:rFonts w:ascii="Calibri" w:cs="Calibri" w:eastAsia="Calibri" w:hAnsi="Calibri"/>
          <w:color w:val="1A1A1A"/>
          <w:sz w:val="20"/>
          <w:szCs w:val="20"/>
        </w:rPr>
        <w:t xml:space="preserve">Exceso de tiempo en documentación repetitiva: la redacción de actas, procedimientos e informes consume entre 3 y 6 horas semanales por empleado en determinados perfiles.</w:t>
      </w:r>
    </w:p>
    <w:p>
      <w:pPr>
        <w:pStyle w:val="ListParagraph"/>
        <w:numPr>
          <w:ilvl w:val="0"/>
          <w:numId w:val="2"/>
        </w:numPr>
        <w:spacing w:after="60" w:before="0"/>
        <w:jc w:val="both"/>
      </w:pPr>
      <w:r>
        <w:rPr>
          <w:rFonts w:ascii="Calibri" w:cs="Calibri" w:eastAsia="Calibri" w:hAnsi="Calibri"/>
          <w:color w:val="1A1A1A"/>
          <w:sz w:val="20"/>
          <w:szCs w:val="20"/>
        </w:rPr>
        <w:t xml:space="preserve">Conocimiento corporativo no estructurado: la información crítica se encuentra dispersa en bandejas de correo, conversaciones de Teams y documentos sin indexar en SharePoint, dificultando su localización y reutilización.</w:t>
      </w:r>
    </w:p>
    <w:p>
      <w:pPr>
        <w:pStyle w:val="ListParagraph"/>
        <w:numPr>
          <w:ilvl w:val="0"/>
          <w:numId w:val="2"/>
        </w:numPr>
        <w:spacing w:after="60" w:before="0"/>
        <w:jc w:val="both"/>
      </w:pPr>
      <w:r>
        <w:rPr>
          <w:rFonts w:ascii="Calibri" w:cs="Calibri" w:eastAsia="Calibri" w:hAnsi="Calibri"/>
          <w:color w:val="1A1A1A"/>
          <w:sz w:val="20"/>
          <w:szCs w:val="20"/>
        </w:rPr>
        <w:t xml:space="preserve">Sobrecarga de reuniones sin salida documental eficiente: el 68% de los participantes declara no disponer de un resumen útil de las reuniones antes de 24 horas.</w:t>
      </w:r>
    </w:p>
    <w:p>
      <w:pPr>
        <w:pStyle w:val="ListParagraph"/>
        <w:numPr>
          <w:ilvl w:val="0"/>
          <w:numId w:val="2"/>
        </w:numPr>
        <w:spacing w:after="60" w:before="0"/>
        <w:jc w:val="both"/>
      </w:pPr>
      <w:r>
        <w:rPr>
          <w:rFonts w:ascii="Calibri" w:cs="Calibri" w:eastAsia="Calibri" w:hAnsi="Calibri"/>
          <w:color w:val="1A1A1A"/>
          <w:sz w:val="20"/>
          <w:szCs w:val="20"/>
        </w:rPr>
        <w:t xml:space="preserve">Baja automatización de informes de seguimiento: los informes de ventas, operaciones y RRHH se elaboran manualmente, con alta variabilidad en formato y calidad.</w:t>
      </w:r>
    </w:p>
    <w:p>
      <w:pPr>
        <w:pStyle w:val="ListParagraph"/>
        <w:numPr>
          <w:ilvl w:val="0"/>
          <w:numId w:val="2"/>
        </w:numPr>
        <w:spacing w:after="60" w:before="0"/>
        <w:jc w:val="both"/>
      </w:pPr>
      <w:r>
        <w:rPr>
          <w:rFonts w:ascii="Calibri" w:cs="Calibri" w:eastAsia="Calibri" w:hAnsi="Calibri"/>
          <w:color w:val="1A1A1A"/>
          <w:sz w:val="20"/>
          <w:szCs w:val="20"/>
        </w:rPr>
        <w:t xml:space="preserve">Barreras de idioma en comunicaciones internacionales: la redacción en inglés, alemán o francés requiere tiempo adicional y revisión externa frecuente.</w:t>
      </w:r>
    </w:p>
    <w:p>
      <w:pPr>
        <w:spacing w:after="80" w:before="0"/>
      </w:pPr>
      <w:r>
        <w:t xml:space="preserve"/>
      </w:r>
    </w:p>
    <w:p>
      <w:pPr>
        <w:pStyle w:val="Heading1"/>
        <w:pBdr>
          <w:bottom w:val="single" w:color="1565C0" w:sz="6" w:space="4"/>
        </w:pBdr>
        <w:spacing w:after="100" w:before="280"/>
      </w:pPr>
      <w:r>
        <w:rPr>
          <w:rFonts w:ascii="Calibri" w:cs="Calibri" w:eastAsia="Calibri" w:hAnsi="Calibri"/>
          <w:b/>
          <w:bCs/>
          <w:color w:val="0D2B4E"/>
          <w:sz w:val="26"/>
          <w:szCs w:val="26"/>
        </w:rPr>
        <w:t xml:space="preserve">3. Objetivos del Proyecto</w:t>
      </w:r>
    </w:p>
    <w:p>
      <w:pPr>
        <w:pStyle w:val="Heading2"/>
        <w:spacing w:after="80" w:before="200"/>
      </w:pPr>
      <w:r>
        <w:rPr>
          <w:rFonts w:ascii="Calibri" w:cs="Calibri" w:eastAsia="Calibri" w:hAnsi="Calibri"/>
          <w:b/>
          <w:bCs/>
          <w:color w:val="1565C0"/>
          <w:sz w:val="22"/>
          <w:szCs w:val="22"/>
        </w:rPr>
        <w:t xml:space="preserve">3.1 Objetivo general</w:t>
      </w:r>
    </w:p>
    <w:p>
      <w:pPr>
        <w:spacing w:after="100" w:before="0"/>
        <w:jc w:val="both"/>
      </w:pPr>
      <w:r>
        <w:rPr>
          <w:rFonts w:ascii="Calibri" w:cs="Calibri" w:eastAsia="Calibri" w:hAnsi="Calibri"/>
          <w:color w:val="1A1A1A"/>
          <w:sz w:val="20"/>
          <w:szCs w:val="20"/>
        </w:rPr>
        <w:t xml:space="preserve">Implementar un modelo de adopción controlada y sostenible de Microsoft Copilot que permita a la organización mejorar su productividad operativa, reducir el tiempo dedicado a tareas documentales y construir una cultura de trabajo asistido por IA, garantizando en todo momento la supervisión humana y el cumplimiento normativo.</w:t>
      </w:r>
    </w:p>
    <w:p>
      <w:pPr>
        <w:spacing w:after="60" w:before="0"/>
      </w:pPr>
      <w:r>
        <w:t xml:space="preserve"/>
      </w:r>
    </w:p>
    <w:p>
      <w:pPr>
        <w:pStyle w:val="Heading2"/>
        <w:spacing w:after="80" w:before="200"/>
      </w:pPr>
      <w:r>
        <w:rPr>
          <w:rFonts w:ascii="Calibri" w:cs="Calibri" w:eastAsia="Calibri" w:hAnsi="Calibri"/>
          <w:b/>
          <w:bCs/>
          <w:color w:val="1565C0"/>
          <w:sz w:val="22"/>
          <w:szCs w:val="22"/>
        </w:rPr>
        <w:t xml:space="preserve">3.2 Objetivos específicos</w:t>
      </w:r>
    </w:p>
    <w:p>
      <w:pPr>
        <w:pStyle w:val="ListParagraph"/>
        <w:numPr>
          <w:ilvl w:val="0"/>
          <w:numId w:val="2"/>
        </w:numPr>
        <w:spacing w:after="60" w:before="0"/>
        <w:jc w:val="both"/>
      </w:pPr>
      <w:r>
        <w:rPr>
          <w:rFonts w:ascii="Calibri" w:cs="Calibri" w:eastAsia="Calibri" w:hAnsi="Calibri"/>
          <w:color w:val="1A1A1A"/>
          <w:sz w:val="20"/>
          <w:szCs w:val="20"/>
        </w:rPr>
        <w:t xml:space="preserve">Reducir en un 30% el tiempo medio dedicado a redacción y resumen de documentación interna en los departamentos piloto.</w:t>
      </w:r>
    </w:p>
    <w:p>
      <w:pPr>
        <w:pStyle w:val="ListParagraph"/>
        <w:numPr>
          <w:ilvl w:val="0"/>
          <w:numId w:val="2"/>
        </w:numPr>
        <w:spacing w:after="60" w:before="0"/>
        <w:jc w:val="both"/>
      </w:pPr>
      <w:r>
        <w:rPr>
          <w:rFonts w:ascii="Calibri" w:cs="Calibri" w:eastAsia="Calibri" w:hAnsi="Calibri"/>
          <w:color w:val="1A1A1A"/>
          <w:sz w:val="20"/>
          <w:szCs w:val="20"/>
        </w:rPr>
        <w:t xml:space="preserve">Automatizar la generación de actas y resúmenes de reuniones en Microsoft Teams para el 60% de las reuniones con más de 3 participantes.</w:t>
      </w:r>
    </w:p>
    <w:p>
      <w:pPr>
        <w:pStyle w:val="ListParagraph"/>
        <w:numPr>
          <w:ilvl w:val="0"/>
          <w:numId w:val="2"/>
        </w:numPr>
        <w:spacing w:after="60" w:before="0"/>
        <w:jc w:val="both"/>
      </w:pPr>
      <w:r>
        <w:rPr>
          <w:rFonts w:ascii="Calibri" w:cs="Calibri" w:eastAsia="Calibri" w:hAnsi="Calibri"/>
          <w:color w:val="1A1A1A"/>
          <w:sz w:val="20"/>
          <w:szCs w:val="20"/>
        </w:rPr>
        <w:t xml:space="preserve">Mejorar la búsqueda y recuperación de conocimiento corporativo en SharePoint mediante capacidades semánticas de Copilot.</w:t>
      </w:r>
    </w:p>
    <w:p>
      <w:pPr>
        <w:pStyle w:val="ListParagraph"/>
        <w:numPr>
          <w:ilvl w:val="0"/>
          <w:numId w:val="2"/>
        </w:numPr>
        <w:spacing w:after="60" w:before="0"/>
        <w:jc w:val="both"/>
      </w:pPr>
      <w:r>
        <w:rPr>
          <w:rFonts w:ascii="Calibri" w:cs="Calibri" w:eastAsia="Calibri" w:hAnsi="Calibri"/>
          <w:color w:val="1A1A1A"/>
          <w:sz w:val="20"/>
          <w:szCs w:val="20"/>
        </w:rPr>
        <w:t xml:space="preserve">Establecer un inventario de casos de uso validados, replicables y escalables al resto de la organización.</w:t>
      </w:r>
    </w:p>
    <w:p>
      <w:pPr>
        <w:pStyle w:val="ListParagraph"/>
        <w:numPr>
          <w:ilvl w:val="0"/>
          <w:numId w:val="2"/>
        </w:numPr>
        <w:spacing w:after="60" w:before="0"/>
        <w:jc w:val="both"/>
      </w:pPr>
      <w:r>
        <w:rPr>
          <w:rFonts w:ascii="Calibri" w:cs="Calibri" w:eastAsia="Calibri" w:hAnsi="Calibri"/>
          <w:color w:val="1A1A1A"/>
          <w:sz w:val="20"/>
          <w:szCs w:val="20"/>
        </w:rPr>
        <w:t xml:space="preserve">Formar al 100% de los usuarios con licencia Copilot antes del inicio de la Fase 1.</w:t>
      </w:r>
    </w:p>
    <w:p>
      <w:pPr>
        <w:pStyle w:val="ListParagraph"/>
        <w:numPr>
          <w:ilvl w:val="0"/>
          <w:numId w:val="2"/>
        </w:numPr>
        <w:spacing w:after="60" w:before="0"/>
        <w:jc w:val="both"/>
      </w:pPr>
      <w:r>
        <w:rPr>
          <w:rFonts w:ascii="Calibri" w:cs="Calibri" w:eastAsia="Calibri" w:hAnsi="Calibri"/>
          <w:color w:val="1A1A1A"/>
          <w:sz w:val="20"/>
          <w:szCs w:val="20"/>
        </w:rPr>
        <w:t xml:space="preserve">Aprobar y publicar una Política Interna de Uso de IA antes del inicio del despliegue.</w:t>
      </w:r>
    </w:p>
    <w:p>
      <w:pPr>
        <w:spacing w:after="80" w:before="0"/>
      </w:pPr>
      <w:r>
        <w:t xml:space="preserve"/>
      </w:r>
    </w:p>
    <w:p>
      <w:pPr>
        <w:pStyle w:val="Heading1"/>
        <w:pBdr>
          <w:bottom w:val="single" w:color="1565C0" w:sz="6" w:space="4"/>
        </w:pBdr>
        <w:spacing w:after="100" w:before="280"/>
      </w:pPr>
      <w:r>
        <w:rPr>
          <w:rFonts w:ascii="Calibri" w:cs="Calibri" w:eastAsia="Calibri" w:hAnsi="Calibri"/>
          <w:b/>
          <w:bCs/>
          <w:color w:val="0D2B4E"/>
          <w:sz w:val="26"/>
          <w:szCs w:val="26"/>
        </w:rPr>
        <w:t xml:space="preserve">4. Departamentos Implicados</w:t>
      </w:r>
    </w:p>
    <w:p>
      <w:pPr>
        <w:spacing w:after="100" w:before="0"/>
        <w:jc w:val="both"/>
      </w:pPr>
      <w:r>
        <w:rPr>
          <w:rFonts w:ascii="Calibri" w:cs="Calibri" w:eastAsia="Calibri" w:hAnsi="Calibri"/>
          <w:color w:val="1A1A1A"/>
          <w:sz w:val="20"/>
          <w:szCs w:val="20"/>
        </w:rPr>
        <w:t xml:space="preserve">El proyecto es de alcance transversal y requiere la participación activa de las siguientes áreas:</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0D2B4E" w:sz="1"/>
              <w:left w:val="single" w:color="0D2B4E" w:sz="1"/>
              <w:bottom w:val="single" w:color="0D2B4E" w:sz="1"/>
              <w:right w:val="single" w:color="0D2B4E" w:sz="1"/>
            </w:tcBorders>
            <w:shd w:fill="0D2B4E" w:val="clear"/>
            <w:tcMar>
              <w:top w:type="dxa" w:w="90"/>
              <w:left w:type="dxa" w:w="140"/>
              <w:bottom w:type="dxa" w:w="90"/>
              <w:right w:type="dxa" w:w="140"/>
            </w:tcMar>
            <w:vAlign w:val="center"/>
          </w:tcPr>
          <w:p>
            <w:pPr>
              <w:spacing w:after="0" w:before="0"/>
              <w:jc w:val="center"/>
            </w:pPr>
            <w:r>
              <w:rPr>
                <w:rFonts w:ascii="Calibri" w:cs="Calibri" w:eastAsia="Calibri" w:hAnsi="Calibri"/>
                <w:b/>
                <w:bCs/>
                <w:color w:val="FFFFFF"/>
                <w:sz w:val="19"/>
                <w:szCs w:val="19"/>
              </w:rPr>
              <w:t xml:space="preserve">Departamento</w:t>
            </w:r>
          </w:p>
        </w:tc>
        <w:tc>
          <w:tcPr>
            <w:tcW w:type="dxa" w:w="6760"/>
            <w:tcBorders>
              <w:top w:val="single" w:color="0D2B4E" w:sz="1"/>
              <w:left w:val="single" w:color="0D2B4E" w:sz="1"/>
              <w:bottom w:val="single" w:color="0D2B4E" w:sz="1"/>
              <w:right w:val="single" w:color="0D2B4E" w:sz="1"/>
            </w:tcBorders>
            <w:shd w:fill="0D2B4E" w:val="clear"/>
            <w:tcMar>
              <w:top w:type="dxa" w:w="90"/>
              <w:left w:type="dxa" w:w="140"/>
              <w:bottom w:type="dxa" w:w="90"/>
              <w:right w:type="dxa" w:w="140"/>
            </w:tcMar>
            <w:vAlign w:val="center"/>
          </w:tcPr>
          <w:p>
            <w:pPr>
              <w:spacing w:after="0" w:before="0"/>
              <w:jc w:val="center"/>
            </w:pPr>
            <w:r>
              <w:rPr>
                <w:rFonts w:ascii="Calibri" w:cs="Calibri" w:eastAsia="Calibri" w:hAnsi="Calibri"/>
                <w:b/>
                <w:bCs/>
                <w:color w:val="FFFFFF"/>
                <w:sz w:val="19"/>
                <w:szCs w:val="19"/>
              </w:rPr>
              <w:t xml:space="preserve">Rol en el Proyecto</w:t>
            </w:r>
          </w:p>
        </w:tc>
      </w:tr>
      <w:tr>
        <w:tc>
          <w:tcPr>
            <w:tcW w:type="dxa" w:w="260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bCs/>
                <w:color w:val="0D2B4E"/>
                <w:sz w:val="19"/>
                <w:szCs w:val="19"/>
              </w:rPr>
              <w:t xml:space="preserve">Dirección General</w:t>
            </w:r>
          </w:p>
        </w:tc>
        <w:tc>
          <w:tcPr>
            <w:tcW w:type="dxa" w:w="676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Sponsorship ejecutivo, aprobación presupuestaria y comunicación del cambio.</w:t>
            </w:r>
          </w:p>
        </w:tc>
      </w:tr>
      <w:tr>
        <w:tc>
          <w:tcPr>
            <w:tcW w:type="dxa" w:w="260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bCs/>
                <w:color w:val="0D2B4E"/>
                <w:sz w:val="19"/>
                <w:szCs w:val="19"/>
              </w:rPr>
              <w:t xml:space="preserve">Recursos Humanos</w:t>
            </w:r>
          </w:p>
        </w:tc>
        <w:tc>
          <w:tcPr>
            <w:tcW w:type="dxa" w:w="676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Gestión del cambio, comunicación interna, evaluación del impacto en roles y perfiles.</w:t>
            </w:r>
          </w:p>
        </w:tc>
      </w:tr>
      <w:tr>
        <w:tc>
          <w:tcPr>
            <w:tcW w:type="dxa" w:w="260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bCs/>
                <w:color w:val="0D2B4E"/>
                <w:sz w:val="19"/>
                <w:szCs w:val="19"/>
              </w:rPr>
              <w:t xml:space="preserve">Tecnología e IT</w:t>
            </w:r>
          </w:p>
        </w:tc>
        <w:tc>
          <w:tcPr>
            <w:tcW w:type="dxa" w:w="676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Infraestructura Microsoft 365, integración de Copilot, seguridad y control de accesos.</w:t>
            </w:r>
          </w:p>
        </w:tc>
      </w:tr>
      <w:tr>
        <w:tc>
          <w:tcPr>
            <w:tcW w:type="dxa" w:w="260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bCs/>
                <w:color w:val="0D2B4E"/>
                <w:sz w:val="19"/>
                <w:szCs w:val="19"/>
              </w:rPr>
              <w:t xml:space="preserve">Operaciones</w:t>
            </w:r>
          </w:p>
        </w:tc>
        <w:tc>
          <w:tcPr>
            <w:tcW w:type="dxa" w:w="676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Automatización de flujos de trabajo, gestión documental en SharePoint y OneDrive.</w:t>
            </w:r>
          </w:p>
        </w:tc>
      </w:tr>
      <w:tr>
        <w:tc>
          <w:tcPr>
            <w:tcW w:type="dxa" w:w="260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bCs/>
                <w:color w:val="0D2B4E"/>
                <w:sz w:val="19"/>
                <w:szCs w:val="19"/>
              </w:rPr>
              <w:t xml:space="preserve">Marketing y Comunicación</w:t>
            </w:r>
          </w:p>
        </w:tc>
        <w:tc>
          <w:tcPr>
            <w:tcW w:type="dxa" w:w="676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Generación de contenidos, briefs creativos, informes de análisis de mercado.</w:t>
            </w:r>
          </w:p>
        </w:tc>
      </w:tr>
      <w:tr>
        <w:tc>
          <w:tcPr>
            <w:tcW w:type="dxa" w:w="260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bCs/>
                <w:color w:val="0D2B4E"/>
                <w:sz w:val="19"/>
                <w:szCs w:val="19"/>
              </w:rPr>
              <w:t xml:space="preserve">Ventas y CRM</w:t>
            </w:r>
          </w:p>
        </w:tc>
        <w:tc>
          <w:tcPr>
            <w:tcW w:type="dxa" w:w="676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Preparación de propuestas, análisis de pipeline, resúmenes de reuniones con clientes.</w:t>
            </w:r>
          </w:p>
        </w:tc>
      </w:tr>
      <w:tr>
        <w:tc>
          <w:tcPr>
            <w:tcW w:type="dxa" w:w="260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bCs/>
                <w:color w:val="0D2B4E"/>
                <w:sz w:val="19"/>
                <w:szCs w:val="19"/>
              </w:rPr>
              <w:t xml:space="preserve">Finanzas</w:t>
            </w:r>
          </w:p>
        </w:tc>
        <w:tc>
          <w:tcPr>
            <w:tcW w:type="dxa" w:w="676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Automatización de informes periódicos, análisis de datos en Excel con Copilot.</w:t>
            </w:r>
          </w:p>
        </w:tc>
      </w:tr>
      <w:tr>
        <w:tc>
          <w:tcPr>
            <w:tcW w:type="dxa" w:w="260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bCs/>
                <w:color w:val="0D2B4E"/>
                <w:sz w:val="19"/>
                <w:szCs w:val="19"/>
              </w:rPr>
              <w:t xml:space="preserve">Legal y Cumplimiento</w:t>
            </w:r>
          </w:p>
        </w:tc>
        <w:tc>
          <w:tcPr>
            <w:tcW w:type="dxa" w:w="676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Supervisión normativa, revisión de políticas de uso y evaluación de contratos.</w:t>
            </w:r>
          </w:p>
        </w:tc>
      </w:tr>
    </w:tbl>
    <w:p>
      <w:pPr>
        <w:spacing w:after="80" w:before="0"/>
      </w:pPr>
      <w:r>
        <w:t xml:space="preserve"/>
      </w:r>
    </w:p>
    <w:p>
      <w:pPr>
        <w:pStyle w:val="Heading1"/>
        <w:pBdr>
          <w:bottom w:val="single" w:color="1565C0" w:sz="6" w:space="4"/>
        </w:pBdr>
        <w:spacing w:after="100" w:before="280"/>
      </w:pPr>
      <w:r>
        <w:rPr>
          <w:rFonts w:ascii="Calibri" w:cs="Calibri" w:eastAsia="Calibri" w:hAnsi="Calibri"/>
          <w:b/>
          <w:bCs/>
          <w:color w:val="0D2B4E"/>
          <w:sz w:val="26"/>
          <w:szCs w:val="26"/>
        </w:rPr>
        <w:t xml:space="preserve">5. Beneficios Esperados</w:t>
      </w:r>
    </w:p>
    <w:p>
      <w:pPr>
        <w:pStyle w:val="Heading2"/>
        <w:spacing w:after="80" w:before="200"/>
      </w:pPr>
      <w:r>
        <w:rPr>
          <w:rFonts w:ascii="Calibri" w:cs="Calibri" w:eastAsia="Calibri" w:hAnsi="Calibri"/>
          <w:b/>
          <w:bCs/>
          <w:color w:val="1565C0"/>
          <w:sz w:val="22"/>
          <w:szCs w:val="22"/>
        </w:rPr>
        <w:t xml:space="preserve">5.1 Beneficios cuantitativos (estimados al final del piloto)</w:t>
      </w:r>
    </w:p>
    <w:p>
      <w:pPr>
        <w:pStyle w:val="ListParagraph"/>
        <w:numPr>
          <w:ilvl w:val="0"/>
          <w:numId w:val="2"/>
        </w:numPr>
        <w:spacing w:after="60" w:before="0"/>
        <w:jc w:val="both"/>
      </w:pPr>
      <w:r>
        <w:rPr>
          <w:rFonts w:ascii="Calibri" w:cs="Calibri" w:eastAsia="Calibri" w:hAnsi="Calibri"/>
          <w:color w:val="1A1A1A"/>
          <w:sz w:val="20"/>
          <w:szCs w:val="20"/>
        </w:rPr>
        <w:t xml:space="preserve">Ahorro de entre 2,5 y 4 horas semanales por usuario en tareas de redacción, búsqueda y síntesis de información.</w:t>
      </w:r>
    </w:p>
    <w:p>
      <w:pPr>
        <w:pStyle w:val="ListParagraph"/>
        <w:numPr>
          <w:ilvl w:val="0"/>
          <w:numId w:val="2"/>
        </w:numPr>
        <w:spacing w:after="60" w:before="0"/>
        <w:jc w:val="both"/>
      </w:pPr>
      <w:r>
        <w:rPr>
          <w:rFonts w:ascii="Calibri" w:cs="Calibri" w:eastAsia="Calibri" w:hAnsi="Calibri"/>
          <w:color w:val="1A1A1A"/>
          <w:sz w:val="20"/>
          <w:szCs w:val="20"/>
        </w:rPr>
        <w:t xml:space="preserve">Reducción del tiempo de elaboración de informes periódicos en un 40% mediante plantillas asistidas por Copilot en Excel y Word.</w:t>
      </w:r>
    </w:p>
    <w:p>
      <w:pPr>
        <w:pStyle w:val="ListParagraph"/>
        <w:numPr>
          <w:ilvl w:val="0"/>
          <w:numId w:val="2"/>
        </w:numPr>
        <w:spacing w:after="60" w:before="0"/>
        <w:jc w:val="both"/>
      </w:pPr>
      <w:r>
        <w:rPr>
          <w:rFonts w:ascii="Calibri" w:cs="Calibri" w:eastAsia="Calibri" w:hAnsi="Calibri"/>
          <w:color w:val="1A1A1A"/>
          <w:sz w:val="20"/>
          <w:szCs w:val="20"/>
        </w:rPr>
        <w:t xml:space="preserve">Disminución del tiempo de onboarding de nuevos empleados gracias al acceso asistido al conocimiento corporativo en SharePoint.</w:t>
      </w:r>
    </w:p>
    <w:p>
      <w:pPr>
        <w:spacing w:after="60" w:before="0"/>
      </w:pPr>
      <w:r>
        <w:t xml:space="preserve"/>
      </w:r>
    </w:p>
    <w:p>
      <w:pPr>
        <w:pStyle w:val="Heading2"/>
        <w:spacing w:after="80" w:before="200"/>
      </w:pPr>
      <w:r>
        <w:rPr>
          <w:rFonts w:ascii="Calibri" w:cs="Calibri" w:eastAsia="Calibri" w:hAnsi="Calibri"/>
          <w:b/>
          <w:bCs/>
          <w:color w:val="1565C0"/>
          <w:sz w:val="22"/>
          <w:szCs w:val="22"/>
        </w:rPr>
        <w:t xml:space="preserve">5.2 Beneficios cualitativos</w:t>
      </w:r>
    </w:p>
    <w:p>
      <w:pPr>
        <w:pStyle w:val="ListParagraph"/>
        <w:numPr>
          <w:ilvl w:val="0"/>
          <w:numId w:val="2"/>
        </w:numPr>
        <w:spacing w:after="60" w:before="0"/>
        <w:jc w:val="both"/>
      </w:pPr>
      <w:r>
        <w:rPr>
          <w:rFonts w:ascii="Calibri" w:cs="Calibri" w:eastAsia="Calibri" w:hAnsi="Calibri"/>
          <w:color w:val="1A1A1A"/>
          <w:sz w:val="20"/>
          <w:szCs w:val="20"/>
        </w:rPr>
        <w:t xml:space="preserve">Mayor coherencia y calidad en las comunicaciones corporativas y la documentación interna.</w:t>
      </w:r>
    </w:p>
    <w:p>
      <w:pPr>
        <w:pStyle w:val="ListParagraph"/>
        <w:numPr>
          <w:ilvl w:val="0"/>
          <w:numId w:val="2"/>
        </w:numPr>
        <w:spacing w:after="60" w:before="0"/>
        <w:jc w:val="both"/>
      </w:pPr>
      <w:r>
        <w:rPr>
          <w:rFonts w:ascii="Calibri" w:cs="Calibri" w:eastAsia="Calibri" w:hAnsi="Calibri"/>
          <w:color w:val="1A1A1A"/>
          <w:sz w:val="20"/>
          <w:szCs w:val="20"/>
        </w:rPr>
        <w:t xml:space="preserve">Reducción de la carga cognitiva de los equipos, liberando capacidad para actividades estratégicas y creativas.</w:t>
      </w:r>
    </w:p>
    <w:p>
      <w:pPr>
        <w:pStyle w:val="ListParagraph"/>
        <w:numPr>
          <w:ilvl w:val="0"/>
          <w:numId w:val="2"/>
        </w:numPr>
        <w:spacing w:after="60" w:before="0"/>
        <w:jc w:val="both"/>
      </w:pPr>
      <w:r>
        <w:rPr>
          <w:rFonts w:ascii="Calibri" w:cs="Calibri" w:eastAsia="Calibri" w:hAnsi="Calibri"/>
          <w:color w:val="1A1A1A"/>
          <w:sz w:val="20"/>
          <w:szCs w:val="20"/>
        </w:rPr>
        <w:t xml:space="preserve">Mejora del posicionamiento de la organización como empleador innovador orientado a la transformación digital.</w:t>
      </w:r>
    </w:p>
    <w:p>
      <w:pPr>
        <w:pStyle w:val="ListParagraph"/>
        <w:numPr>
          <w:ilvl w:val="0"/>
          <w:numId w:val="2"/>
        </w:numPr>
        <w:spacing w:after="60" w:before="0"/>
        <w:jc w:val="both"/>
      </w:pPr>
      <w:r>
        <w:rPr>
          <w:rFonts w:ascii="Calibri" w:cs="Calibri" w:eastAsia="Calibri" w:hAnsi="Calibri"/>
          <w:color w:val="1A1A1A"/>
          <w:sz w:val="20"/>
          <w:szCs w:val="20"/>
        </w:rPr>
        <w:t xml:space="preserve">Construcción de un repositorio de mejores prácticas de prompting adaptado a la realidad del negocio.</w:t>
      </w:r>
    </w:p>
    <w:p>
      <w:pPr>
        <w:spacing w:after="80" w:before="0"/>
      </w:pPr>
      <w:r>
        <w:t xml:space="preserve"/>
      </w:r>
    </w:p>
    <w:p>
      <w:pPr>
        <w:pStyle w:val="Heading1"/>
        <w:pBdr>
          <w:bottom w:val="single" w:color="1565C0" w:sz="6" w:space="4"/>
        </w:pBdr>
        <w:spacing w:after="100" w:before="280"/>
      </w:pPr>
      <w:r>
        <w:rPr>
          <w:rFonts w:ascii="Calibri" w:cs="Calibri" w:eastAsia="Calibri" w:hAnsi="Calibri"/>
          <w:b/>
          <w:bCs/>
          <w:color w:val="0D2B4E"/>
          <w:sz w:val="26"/>
          <w:szCs w:val="26"/>
        </w:rPr>
        <w:t xml:space="preserve">6. Riesgos Identificados y Mitigación</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1000"/>
        <w:gridCol w:w="4960"/>
      </w:tblGrid>
      <w:tr>
        <w:tc>
          <w:tcPr>
            <w:tcW w:type="dxa" w:w="3400"/>
            <w:tcBorders>
              <w:top w:val="single" w:color="0D2B4E" w:sz="1"/>
              <w:left w:val="single" w:color="0D2B4E" w:sz="1"/>
              <w:bottom w:val="single" w:color="0D2B4E" w:sz="1"/>
              <w:right w:val="single" w:color="0D2B4E" w:sz="1"/>
            </w:tcBorders>
            <w:shd w:fill="0D2B4E" w:val="clear"/>
            <w:tcMar>
              <w:top w:type="dxa" w:w="90"/>
              <w:left w:type="dxa" w:w="140"/>
              <w:bottom w:type="dxa" w:w="90"/>
              <w:right w:type="dxa" w:w="140"/>
            </w:tcMar>
            <w:vAlign w:val="center"/>
          </w:tcPr>
          <w:p>
            <w:pPr>
              <w:spacing w:after="0" w:before="0"/>
              <w:jc w:val="center"/>
            </w:pPr>
            <w:r>
              <w:rPr>
                <w:rFonts w:ascii="Calibri" w:cs="Calibri" w:eastAsia="Calibri" w:hAnsi="Calibri"/>
                <w:b/>
                <w:bCs/>
                <w:color w:val="FFFFFF"/>
                <w:sz w:val="19"/>
                <w:szCs w:val="19"/>
              </w:rPr>
              <w:t xml:space="preserve">Riesgo identificado</w:t>
            </w:r>
          </w:p>
        </w:tc>
        <w:tc>
          <w:tcPr>
            <w:tcW w:type="dxa" w:w="1000"/>
            <w:tcBorders>
              <w:top w:val="single" w:color="0D2B4E" w:sz="1"/>
              <w:left w:val="single" w:color="0D2B4E" w:sz="1"/>
              <w:bottom w:val="single" w:color="0D2B4E" w:sz="1"/>
              <w:right w:val="single" w:color="0D2B4E" w:sz="1"/>
            </w:tcBorders>
            <w:shd w:fill="0D2B4E" w:val="clear"/>
            <w:tcMar>
              <w:top w:type="dxa" w:w="90"/>
              <w:left w:type="dxa" w:w="140"/>
              <w:bottom w:type="dxa" w:w="90"/>
              <w:right w:type="dxa" w:w="140"/>
            </w:tcMar>
            <w:vAlign w:val="center"/>
          </w:tcPr>
          <w:p>
            <w:pPr>
              <w:spacing w:after="0" w:before="0"/>
              <w:jc w:val="center"/>
            </w:pPr>
            <w:r>
              <w:rPr>
                <w:rFonts w:ascii="Calibri" w:cs="Calibri" w:eastAsia="Calibri" w:hAnsi="Calibri"/>
                <w:b/>
                <w:bCs/>
                <w:color w:val="FFFFFF"/>
                <w:sz w:val="19"/>
                <w:szCs w:val="19"/>
              </w:rPr>
              <w:t xml:space="preserve">Impacto</w:t>
            </w:r>
          </w:p>
        </w:tc>
        <w:tc>
          <w:tcPr>
            <w:tcW w:type="dxa" w:w="4960"/>
            <w:tcBorders>
              <w:top w:val="single" w:color="0D2B4E" w:sz="1"/>
              <w:left w:val="single" w:color="0D2B4E" w:sz="1"/>
              <w:bottom w:val="single" w:color="0D2B4E" w:sz="1"/>
              <w:right w:val="single" w:color="0D2B4E" w:sz="1"/>
            </w:tcBorders>
            <w:shd w:fill="0D2B4E" w:val="clear"/>
            <w:tcMar>
              <w:top w:type="dxa" w:w="90"/>
              <w:left w:type="dxa" w:w="140"/>
              <w:bottom w:type="dxa" w:w="90"/>
              <w:right w:type="dxa" w:w="140"/>
            </w:tcMar>
            <w:vAlign w:val="center"/>
          </w:tcPr>
          <w:p>
            <w:pPr>
              <w:spacing w:after="0" w:before="0"/>
              <w:jc w:val="center"/>
            </w:pPr>
            <w:r>
              <w:rPr>
                <w:rFonts w:ascii="Calibri" w:cs="Calibri" w:eastAsia="Calibri" w:hAnsi="Calibri"/>
                <w:b/>
                <w:bCs/>
                <w:color w:val="FFFFFF"/>
                <w:sz w:val="19"/>
                <w:szCs w:val="19"/>
              </w:rPr>
              <w:t xml:space="preserve">Medida de mitigación</w:t>
            </w:r>
          </w:p>
        </w:tc>
      </w:tr>
      <w:tr>
        <w:tc>
          <w:tcPr>
            <w:tcW w:type="dxa" w:w="340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bCs/>
                <w:color w:val="1A1A1A"/>
                <w:sz w:val="19"/>
                <w:szCs w:val="19"/>
              </w:rPr>
              <w:t xml:space="preserve">Baja adopción por resistencia al cambio</w:t>
            </w:r>
          </w:p>
        </w:tc>
        <w:tc>
          <w:tcPr>
            <w:tcW w:type="dxa" w:w="1000"/>
            <w:tcBorders>
              <w:top w:val="single" w:color="D0D7DE" w:sz="1"/>
              <w:left w:val="single" w:color="D0D7DE" w:sz="1"/>
              <w:bottom w:val="single" w:color="D0D7DE" w:sz="1"/>
              <w:right w:val="single" w:color="D0D7DE" w:sz="1"/>
            </w:tcBorders>
            <w:shd w:fill="C62828" w:val="clear"/>
            <w:tcMar>
              <w:top w:type="dxa" w:w="80"/>
              <w:left w:type="dxa" w:w="140"/>
              <w:bottom w:type="dxa" w:w="80"/>
              <w:right w:type="dxa" w:w="140"/>
            </w:tcMar>
            <w:vAlign w:val="top"/>
          </w:tcPr>
          <w:p>
            <w:pPr>
              <w:spacing w:after="0" w:before="0"/>
              <w:jc w:val="left"/>
            </w:pPr>
            <w:r>
              <w:rPr>
                <w:rFonts w:ascii="Calibri" w:cs="Calibri" w:eastAsia="Calibri" w:hAnsi="Calibri"/>
                <w:b/>
                <w:bCs/>
                <w:color w:val="FFFFFF"/>
                <w:sz w:val="19"/>
                <w:szCs w:val="19"/>
              </w:rPr>
              <w:t xml:space="preserve">Alto</w:t>
            </w:r>
          </w:p>
        </w:tc>
        <w:tc>
          <w:tcPr>
            <w:tcW w:type="dxa" w:w="496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Programa de change management, formación práctica y comunicación ejecutiva.</w:t>
            </w:r>
          </w:p>
        </w:tc>
      </w:tr>
      <w:tr>
        <w:tc>
          <w:tcPr>
            <w:tcW w:type="dxa" w:w="340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bCs/>
                <w:color w:val="1A1A1A"/>
                <w:sz w:val="19"/>
                <w:szCs w:val="19"/>
              </w:rPr>
              <w:t xml:space="preserve">Uso inadecuado de datos confidenciales</w:t>
            </w:r>
          </w:p>
        </w:tc>
        <w:tc>
          <w:tcPr>
            <w:tcW w:type="dxa" w:w="1000"/>
            <w:tcBorders>
              <w:top w:val="single" w:color="D0D7DE" w:sz="1"/>
              <w:left w:val="single" w:color="D0D7DE" w:sz="1"/>
              <w:bottom w:val="single" w:color="D0D7DE" w:sz="1"/>
              <w:right w:val="single" w:color="D0D7DE" w:sz="1"/>
            </w:tcBorders>
            <w:shd w:fill="C62828" w:val="clear"/>
            <w:tcMar>
              <w:top w:type="dxa" w:w="80"/>
              <w:left w:type="dxa" w:w="140"/>
              <w:bottom w:type="dxa" w:w="80"/>
              <w:right w:type="dxa" w:w="140"/>
            </w:tcMar>
            <w:vAlign w:val="top"/>
          </w:tcPr>
          <w:p>
            <w:pPr>
              <w:spacing w:after="0" w:before="0"/>
              <w:jc w:val="left"/>
            </w:pPr>
            <w:r>
              <w:rPr>
                <w:rFonts w:ascii="Calibri" w:cs="Calibri" w:eastAsia="Calibri" w:hAnsi="Calibri"/>
                <w:b/>
                <w:bCs/>
                <w:color w:val="FFFFFF"/>
                <w:sz w:val="19"/>
                <w:szCs w:val="19"/>
              </w:rPr>
              <w:t xml:space="preserve">Alto</w:t>
            </w:r>
          </w:p>
        </w:tc>
        <w:tc>
          <w:tcPr>
            <w:tcW w:type="dxa" w:w="496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Política de uso, formación obligatoria y auditoría de prompts en M365.</w:t>
            </w:r>
          </w:p>
        </w:tc>
      </w:tr>
      <w:tr>
        <w:tc>
          <w:tcPr>
            <w:tcW w:type="dxa" w:w="340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bCs/>
                <w:color w:val="1A1A1A"/>
                <w:sz w:val="19"/>
                <w:szCs w:val="19"/>
              </w:rPr>
              <w:t xml:space="preserve">Dependencia tecnológica sin masa crítica</w:t>
            </w:r>
          </w:p>
        </w:tc>
        <w:tc>
          <w:tcPr>
            <w:tcW w:type="dxa" w:w="1000"/>
            <w:tcBorders>
              <w:top w:val="single" w:color="D0D7DE" w:sz="1"/>
              <w:left w:val="single" w:color="D0D7DE" w:sz="1"/>
              <w:bottom w:val="single" w:color="D0D7DE" w:sz="1"/>
              <w:right w:val="single" w:color="D0D7DE" w:sz="1"/>
            </w:tcBorders>
            <w:shd w:fill="E65100" w:val="clear"/>
            <w:tcMar>
              <w:top w:type="dxa" w:w="80"/>
              <w:left w:type="dxa" w:w="140"/>
              <w:bottom w:type="dxa" w:w="80"/>
              <w:right w:type="dxa" w:w="140"/>
            </w:tcMar>
            <w:vAlign w:val="top"/>
          </w:tcPr>
          <w:p>
            <w:pPr>
              <w:spacing w:after="0" w:before="0"/>
              <w:jc w:val="left"/>
            </w:pPr>
            <w:r>
              <w:rPr>
                <w:rFonts w:ascii="Calibri" w:cs="Calibri" w:eastAsia="Calibri" w:hAnsi="Calibri"/>
                <w:b/>
                <w:bCs/>
                <w:color w:val="FFFFFF"/>
                <w:sz w:val="19"/>
                <w:szCs w:val="19"/>
              </w:rPr>
              <w:t xml:space="preserve">Medio</w:t>
            </w:r>
          </w:p>
        </w:tc>
        <w:tc>
          <w:tcPr>
            <w:tcW w:type="dxa" w:w="496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Despliegue gradual por fases y evaluación continua de valor generado.</w:t>
            </w:r>
          </w:p>
        </w:tc>
      </w:tr>
      <w:tr>
        <w:tc>
          <w:tcPr>
            <w:tcW w:type="dxa" w:w="340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bCs/>
                <w:color w:val="1A1A1A"/>
                <w:sz w:val="19"/>
                <w:szCs w:val="19"/>
              </w:rPr>
              <w:t xml:space="preserve">Expectativas no alineadas con capacidades reales</w:t>
            </w:r>
          </w:p>
        </w:tc>
        <w:tc>
          <w:tcPr>
            <w:tcW w:type="dxa" w:w="1000"/>
            <w:tcBorders>
              <w:top w:val="single" w:color="D0D7DE" w:sz="1"/>
              <w:left w:val="single" w:color="D0D7DE" w:sz="1"/>
              <w:bottom w:val="single" w:color="D0D7DE" w:sz="1"/>
              <w:right w:val="single" w:color="D0D7DE" w:sz="1"/>
            </w:tcBorders>
            <w:shd w:fill="E65100" w:val="clear"/>
            <w:tcMar>
              <w:top w:type="dxa" w:w="80"/>
              <w:left w:type="dxa" w:w="140"/>
              <w:bottom w:type="dxa" w:w="80"/>
              <w:right w:type="dxa" w:w="140"/>
            </w:tcMar>
            <w:vAlign w:val="top"/>
          </w:tcPr>
          <w:p>
            <w:pPr>
              <w:spacing w:after="0" w:before="0"/>
              <w:jc w:val="left"/>
            </w:pPr>
            <w:r>
              <w:rPr>
                <w:rFonts w:ascii="Calibri" w:cs="Calibri" w:eastAsia="Calibri" w:hAnsi="Calibri"/>
                <w:b/>
                <w:bCs/>
                <w:color w:val="FFFFFF"/>
                <w:sz w:val="19"/>
                <w:szCs w:val="19"/>
              </w:rPr>
              <w:t xml:space="preserve">Medio</w:t>
            </w:r>
          </w:p>
        </w:tc>
        <w:tc>
          <w:tcPr>
            <w:tcW w:type="dxa" w:w="496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Gestión de expectativas en sesiones de kick-off y demostraciones controladas.</w:t>
            </w:r>
          </w:p>
        </w:tc>
      </w:tr>
      <w:tr>
        <w:tc>
          <w:tcPr>
            <w:tcW w:type="dxa" w:w="340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bCs/>
                <w:color w:val="1A1A1A"/>
                <w:sz w:val="19"/>
                <w:szCs w:val="19"/>
              </w:rPr>
              <w:t xml:space="preserve">Costes de licenciamiento superiores al ROI</w:t>
            </w:r>
          </w:p>
        </w:tc>
        <w:tc>
          <w:tcPr>
            <w:tcW w:type="dxa" w:w="1000"/>
            <w:tcBorders>
              <w:top w:val="single" w:color="D0D7DE" w:sz="1"/>
              <w:left w:val="single" w:color="D0D7DE" w:sz="1"/>
              <w:bottom w:val="single" w:color="D0D7DE" w:sz="1"/>
              <w:right w:val="single" w:color="D0D7DE" w:sz="1"/>
            </w:tcBorders>
            <w:shd w:fill="F57C00" w:val="clear"/>
            <w:tcMar>
              <w:top w:type="dxa" w:w="80"/>
              <w:left w:type="dxa" w:w="140"/>
              <w:bottom w:type="dxa" w:w="80"/>
              <w:right w:type="dxa" w:w="140"/>
            </w:tcMar>
            <w:vAlign w:val="top"/>
          </w:tcPr>
          <w:p>
            <w:pPr>
              <w:spacing w:after="0" w:before="0"/>
              <w:jc w:val="left"/>
            </w:pPr>
            <w:r>
              <w:rPr>
                <w:rFonts w:ascii="Calibri" w:cs="Calibri" w:eastAsia="Calibri" w:hAnsi="Calibri"/>
                <w:b/>
                <w:bCs/>
                <w:color w:val="FFFFFF"/>
                <w:sz w:val="19"/>
                <w:szCs w:val="19"/>
              </w:rPr>
              <w:t xml:space="preserve">Bajo-Medio</w:t>
            </w:r>
          </w:p>
        </w:tc>
        <w:tc>
          <w:tcPr>
            <w:tcW w:type="dxa" w:w="496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Análisis de TCO previo y revisión de ROI al cierre de cada fase.</w:t>
            </w:r>
          </w:p>
        </w:tc>
      </w:tr>
    </w:tbl>
    <w:p>
      <w:pPr>
        <w:spacing w:after="80" w:before="0"/>
      </w:pPr>
      <w:r>
        <w:t xml:space="preserve"/>
      </w:r>
    </w:p>
    <w:p>
      <w:pPr>
        <w:pStyle w:val="Heading1"/>
        <w:pBdr>
          <w:bottom w:val="single" w:color="1565C0" w:sz="6" w:space="4"/>
        </w:pBdr>
        <w:spacing w:after="100" w:before="280"/>
      </w:pPr>
      <w:r>
        <w:rPr>
          <w:rFonts w:ascii="Calibri" w:cs="Calibri" w:eastAsia="Calibri" w:hAnsi="Calibri"/>
          <w:b/>
          <w:bCs/>
          <w:color w:val="0D2B4E"/>
          <w:sz w:val="26"/>
          <w:szCs w:val="26"/>
        </w:rPr>
        <w:t xml:space="preserve">7. Estrategia de Implantación</w:t>
      </w:r>
    </w:p>
    <w:p>
      <w:pPr>
        <w:spacing w:after="100" w:before="0"/>
        <w:jc w:val="both"/>
      </w:pPr>
      <w:r>
        <w:rPr>
          <w:rFonts w:ascii="Calibri" w:cs="Calibri" w:eastAsia="Calibri" w:hAnsi="Calibri"/>
          <w:color w:val="1A1A1A"/>
          <w:sz w:val="20"/>
          <w:szCs w:val="20"/>
        </w:rPr>
        <w:t xml:space="preserve">La estrategia adoptada sigue un modelo de despliegue gradual por capas, que combina profundidad técnica con gestión activa del cambio cultural. Se articula en torno a tres principios rectores:</w:t>
      </w:r>
    </w:p>
    <w:p>
      <w:pPr>
        <w:spacing w:after="40" w:before="0"/>
      </w:pPr>
      <w:r>
        <w:t xml:space="preserve"/>
      </w:r>
    </w:p>
    <w:p>
      <w:pPr>
        <w:pStyle w:val="ListParagraph"/>
        <w:numPr>
          <w:ilvl w:val="0"/>
          <w:numId w:val="3"/>
        </w:numPr>
        <w:spacing w:after="60" w:before="0"/>
        <w:jc w:val="both"/>
      </w:pPr>
      <w:r>
        <w:rPr>
          <w:rFonts w:ascii="Calibri" w:cs="Calibri" w:eastAsia="Calibri" w:hAnsi="Calibri"/>
          <w:b/>
          <w:bCs/>
          <w:color w:val="0D2B4E"/>
          <w:sz w:val="20"/>
          <w:szCs w:val="20"/>
        </w:rPr>
        <w:t xml:space="preserve">Valor temprano y visible: </w:t>
      </w:r>
      <w:r>
        <w:rPr>
          <w:rFonts w:ascii="Calibri" w:cs="Calibri" w:eastAsia="Calibri" w:hAnsi="Calibri"/>
          <w:color w:val="1A1A1A"/>
          <w:sz w:val="20"/>
          <w:szCs w:val="20"/>
        </w:rPr>
        <w:t xml:space="preserve">los primeros casos de uso desplegados deben generar ahorro de tiempo tangible en las primeras dos semanas para generar tracción interna.</w:t>
      </w:r>
    </w:p>
    <w:p>
      <w:pPr>
        <w:pStyle w:val="ListParagraph"/>
        <w:numPr>
          <w:ilvl w:val="0"/>
          <w:numId w:val="3"/>
        </w:numPr>
        <w:spacing w:after="60" w:before="0"/>
        <w:jc w:val="both"/>
      </w:pPr>
      <w:r>
        <w:rPr>
          <w:rFonts w:ascii="Calibri" w:cs="Calibri" w:eastAsia="Calibri" w:hAnsi="Calibri"/>
          <w:b/>
          <w:bCs/>
          <w:color w:val="0D2B4E"/>
          <w:sz w:val="20"/>
          <w:szCs w:val="20"/>
        </w:rPr>
        <w:t xml:space="preserve">Supervisión humana permanente: </w:t>
      </w:r>
      <w:r>
        <w:rPr>
          <w:rFonts w:ascii="Calibri" w:cs="Calibri" w:eastAsia="Calibri" w:hAnsi="Calibri"/>
          <w:color w:val="1A1A1A"/>
          <w:sz w:val="20"/>
          <w:szCs w:val="20"/>
        </w:rPr>
        <w:t xml:space="preserve">ningún output de Copilot debe utilizarse sin revisión del profesional responsable. La validación es parte del proceso, no una excepción.</w:t>
      </w:r>
    </w:p>
    <w:p>
      <w:pPr>
        <w:pStyle w:val="ListParagraph"/>
        <w:numPr>
          <w:ilvl w:val="0"/>
          <w:numId w:val="3"/>
        </w:numPr>
        <w:spacing w:after="60" w:before="0"/>
        <w:jc w:val="both"/>
      </w:pPr>
      <w:r>
        <w:rPr>
          <w:rFonts w:ascii="Calibri" w:cs="Calibri" w:eastAsia="Calibri" w:hAnsi="Calibri"/>
          <w:b/>
          <w:bCs/>
          <w:color w:val="0D2B4E"/>
          <w:sz w:val="20"/>
          <w:szCs w:val="20"/>
        </w:rPr>
        <w:t xml:space="preserve">Aprendizaje continuo: </w:t>
      </w:r>
      <w:r>
        <w:rPr>
          <w:rFonts w:ascii="Calibri" w:cs="Calibri" w:eastAsia="Calibri" w:hAnsi="Calibri"/>
          <w:color w:val="1A1A1A"/>
          <w:sz w:val="20"/>
          <w:szCs w:val="20"/>
        </w:rPr>
        <w:t xml:space="preserve">el piloto es un entorno de aprendizaje organizacional. Los errores y los casos de uso fallidos tienen tanto valor como los éxitos para calibrar el despliegue posterior.</w:t>
      </w:r>
    </w:p>
    <w:p>
      <w:pPr>
        <w:spacing w:after="80" w:before="0"/>
      </w:pPr>
      <w:r>
        <w:t xml:space="preserve"/>
      </w:r>
    </w:p>
    <w:p>
      <w:pPr>
        <w:pStyle w:val="Heading2"/>
        <w:spacing w:after="80" w:before="200"/>
      </w:pPr>
      <w:r>
        <w:rPr>
          <w:rFonts w:ascii="Calibri" w:cs="Calibri" w:eastAsia="Calibri" w:hAnsi="Calibri"/>
          <w:b/>
          <w:bCs/>
          <w:color w:val="1565C0"/>
          <w:sz w:val="22"/>
          <w:szCs w:val="22"/>
        </w:rPr>
        <w:t xml:space="preserve">7.1 Casos de uso prioritarios del piloto</w:t>
      </w:r>
    </w:p>
    <w:p>
      <w:pPr>
        <w:pStyle w:val="ListParagraph"/>
        <w:numPr>
          <w:ilvl w:val="0"/>
          <w:numId w:val="2"/>
        </w:numPr>
        <w:spacing w:after="60" w:before="0"/>
        <w:jc w:val="both"/>
      </w:pPr>
      <w:r>
        <w:rPr>
          <w:rFonts w:ascii="Calibri" w:cs="Calibri" w:eastAsia="Calibri" w:hAnsi="Calibri"/>
          <w:color w:val="1A1A1A"/>
          <w:sz w:val="20"/>
          <w:szCs w:val="20"/>
        </w:rPr>
        <w:t xml:space="preserve">Copilot en Teams: transcripción y resumen automático de reuniones con acciones asignadas por participante.</w:t>
      </w:r>
    </w:p>
    <w:p>
      <w:pPr>
        <w:pStyle w:val="ListParagraph"/>
        <w:numPr>
          <w:ilvl w:val="0"/>
          <w:numId w:val="2"/>
        </w:numPr>
        <w:spacing w:after="60" w:before="0"/>
        <w:jc w:val="both"/>
      </w:pPr>
      <w:r>
        <w:rPr>
          <w:rFonts w:ascii="Calibri" w:cs="Calibri" w:eastAsia="Calibri" w:hAnsi="Calibri"/>
          <w:color w:val="1A1A1A"/>
          <w:sz w:val="20"/>
          <w:szCs w:val="20"/>
        </w:rPr>
        <w:t xml:space="preserve">Copilot en Outlook: redacción asistida de correos, resúmenes de hilos largos y sugerencias de respuesta.</w:t>
      </w:r>
    </w:p>
    <w:p>
      <w:pPr>
        <w:pStyle w:val="ListParagraph"/>
        <w:numPr>
          <w:ilvl w:val="0"/>
          <w:numId w:val="2"/>
        </w:numPr>
        <w:spacing w:after="60" w:before="0"/>
        <w:jc w:val="both"/>
      </w:pPr>
      <w:r>
        <w:rPr>
          <w:rFonts w:ascii="Calibri" w:cs="Calibri" w:eastAsia="Calibri" w:hAnsi="Calibri"/>
          <w:color w:val="1A1A1A"/>
          <w:sz w:val="20"/>
          <w:szCs w:val="20"/>
        </w:rPr>
        <w:t xml:space="preserve">Copilot en Word: generación de borradores de procedimientos, informes y comunicados a partir de notas o esquemas.</w:t>
      </w:r>
    </w:p>
    <w:p>
      <w:pPr>
        <w:pStyle w:val="ListParagraph"/>
        <w:numPr>
          <w:ilvl w:val="0"/>
          <w:numId w:val="2"/>
        </w:numPr>
        <w:spacing w:after="60" w:before="0"/>
        <w:jc w:val="both"/>
      </w:pPr>
      <w:r>
        <w:rPr>
          <w:rFonts w:ascii="Calibri" w:cs="Calibri" w:eastAsia="Calibri" w:hAnsi="Calibri"/>
          <w:color w:val="1A1A1A"/>
          <w:sz w:val="20"/>
          <w:szCs w:val="20"/>
        </w:rPr>
        <w:t xml:space="preserve">Copilot en Excel: análisis de datos de ventas y operaciones, detección de tendencias y narrativas para informes ejecutivos.</w:t>
      </w:r>
    </w:p>
    <w:p>
      <w:pPr>
        <w:pStyle w:val="ListParagraph"/>
        <w:numPr>
          <w:ilvl w:val="0"/>
          <w:numId w:val="2"/>
        </w:numPr>
        <w:spacing w:after="60" w:before="0"/>
        <w:jc w:val="both"/>
      </w:pPr>
      <w:r>
        <w:rPr>
          <w:rFonts w:ascii="Calibri" w:cs="Calibri" w:eastAsia="Calibri" w:hAnsi="Calibri"/>
          <w:color w:val="1A1A1A"/>
          <w:sz w:val="20"/>
          <w:szCs w:val="20"/>
        </w:rPr>
        <w:t xml:space="preserve">Copilot en SharePoint / Microsoft 365 Chat: búsqueda semántica de documentos corporativos y recuperación de conocimiento histórico.</w:t>
      </w:r>
    </w:p>
    <w:p>
      <w:pPr>
        <w:spacing w:after="80" w:before="0"/>
      </w:pPr>
      <w:r>
        <w:t xml:space="preserve"/>
      </w:r>
    </w:p>
    <w:p>
      <w:pPr>
        <w:pStyle w:val="Heading1"/>
        <w:pBdr>
          <w:bottom w:val="single" w:color="1565C0" w:sz="6" w:space="4"/>
        </w:pBdr>
        <w:spacing w:after="100" w:before="280"/>
      </w:pPr>
      <w:r>
        <w:rPr>
          <w:rFonts w:ascii="Calibri" w:cs="Calibri" w:eastAsia="Calibri" w:hAnsi="Calibri"/>
          <w:b/>
          <w:bCs/>
          <w:color w:val="0D2B4E"/>
          <w:sz w:val="26"/>
          <w:szCs w:val="26"/>
        </w:rPr>
        <w:t xml:space="preserve">8. Roadmap Inicial del Proyecto</w:t>
      </w:r>
    </w:p>
    <w:p>
      <w:pPr>
        <w:spacing w:after="100" w:before="0"/>
        <w:jc w:val="both"/>
      </w:pPr>
      <w:r>
        <w:rPr>
          <w:rFonts w:ascii="Calibri" w:cs="Calibri" w:eastAsia="Calibri" w:hAnsi="Calibri"/>
          <w:color w:val="1A1A1A"/>
          <w:sz w:val="20"/>
          <w:szCs w:val="20"/>
        </w:rPr>
        <w:t xml:space="preserve">El proyecto se estructura en cuatro fases a lo largo de seis meses. La duración de cada fase podrá ajustarse en función de los resultados de las revisiones periódicas.</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200"/>
        <w:gridCol w:w="1900"/>
        <w:gridCol w:w="5060"/>
      </w:tblGrid>
      <w:tr>
        <w:tc>
          <w:tcPr>
            <w:tcW w:type="dxa" w:w="1200"/>
            <w:tcBorders>
              <w:top w:val="single" w:color="0D2B4E" w:sz="1"/>
              <w:left w:val="single" w:color="0D2B4E" w:sz="1"/>
              <w:bottom w:val="single" w:color="0D2B4E" w:sz="1"/>
              <w:right w:val="single" w:color="0D2B4E" w:sz="1"/>
            </w:tcBorders>
            <w:shd w:fill="0D2B4E" w:val="clear"/>
            <w:tcMar>
              <w:top w:type="dxa" w:w="90"/>
              <w:left w:type="dxa" w:w="140"/>
              <w:bottom w:type="dxa" w:w="90"/>
              <w:right w:type="dxa" w:w="140"/>
            </w:tcMar>
            <w:vAlign w:val="center"/>
          </w:tcPr>
          <w:p>
            <w:pPr>
              <w:spacing w:after="0" w:before="0"/>
              <w:jc w:val="center"/>
            </w:pPr>
            <w:r>
              <w:rPr>
                <w:rFonts w:ascii="Calibri" w:cs="Calibri" w:eastAsia="Calibri" w:hAnsi="Calibri"/>
                <w:b/>
                <w:bCs/>
                <w:color w:val="FFFFFF"/>
                <w:sz w:val="19"/>
                <w:szCs w:val="19"/>
              </w:rPr>
              <w:t xml:space="preserve">Fase</w:t>
            </w:r>
          </w:p>
        </w:tc>
        <w:tc>
          <w:tcPr>
            <w:tcW w:type="dxa" w:w="1200"/>
            <w:tcBorders>
              <w:top w:val="single" w:color="0D2B4E" w:sz="1"/>
              <w:left w:val="single" w:color="0D2B4E" w:sz="1"/>
              <w:bottom w:val="single" w:color="0D2B4E" w:sz="1"/>
              <w:right w:val="single" w:color="0D2B4E" w:sz="1"/>
            </w:tcBorders>
            <w:shd w:fill="0D2B4E" w:val="clear"/>
            <w:tcMar>
              <w:top w:type="dxa" w:w="90"/>
              <w:left w:type="dxa" w:w="140"/>
              <w:bottom w:type="dxa" w:w="90"/>
              <w:right w:type="dxa" w:w="140"/>
            </w:tcMar>
            <w:vAlign w:val="center"/>
          </w:tcPr>
          <w:p>
            <w:pPr>
              <w:spacing w:after="0" w:before="0"/>
              <w:jc w:val="center"/>
            </w:pPr>
            <w:r>
              <w:rPr>
                <w:rFonts w:ascii="Calibri" w:cs="Calibri" w:eastAsia="Calibri" w:hAnsi="Calibri"/>
                <w:b/>
                <w:bCs/>
                <w:color w:val="FFFFFF"/>
                <w:sz w:val="19"/>
                <w:szCs w:val="19"/>
              </w:rPr>
              <w:t xml:space="preserve">Período</w:t>
            </w:r>
          </w:p>
        </w:tc>
        <w:tc>
          <w:tcPr>
            <w:tcW w:type="dxa" w:w="1900"/>
            <w:tcBorders>
              <w:top w:val="single" w:color="0D2B4E" w:sz="1"/>
              <w:left w:val="single" w:color="0D2B4E" w:sz="1"/>
              <w:bottom w:val="single" w:color="0D2B4E" w:sz="1"/>
              <w:right w:val="single" w:color="0D2B4E" w:sz="1"/>
            </w:tcBorders>
            <w:shd w:fill="0D2B4E" w:val="clear"/>
            <w:tcMar>
              <w:top w:type="dxa" w:w="90"/>
              <w:left w:type="dxa" w:w="140"/>
              <w:bottom w:type="dxa" w:w="90"/>
              <w:right w:type="dxa" w:w="140"/>
            </w:tcMar>
            <w:vAlign w:val="center"/>
          </w:tcPr>
          <w:p>
            <w:pPr>
              <w:spacing w:after="0" w:before="0"/>
              <w:jc w:val="center"/>
            </w:pPr>
            <w:r>
              <w:rPr>
                <w:rFonts w:ascii="Calibri" w:cs="Calibri" w:eastAsia="Calibri" w:hAnsi="Calibri"/>
                <w:b/>
                <w:bCs/>
                <w:color w:val="FFFFFF"/>
                <w:sz w:val="19"/>
                <w:szCs w:val="19"/>
              </w:rPr>
              <w:t xml:space="preserve">Hito</w:t>
            </w:r>
          </w:p>
        </w:tc>
        <w:tc>
          <w:tcPr>
            <w:tcW w:type="dxa" w:w="5060"/>
            <w:tcBorders>
              <w:top w:val="single" w:color="0D2B4E" w:sz="1"/>
              <w:left w:val="single" w:color="0D2B4E" w:sz="1"/>
              <w:bottom w:val="single" w:color="0D2B4E" w:sz="1"/>
              <w:right w:val="single" w:color="0D2B4E" w:sz="1"/>
            </w:tcBorders>
            <w:shd w:fill="0D2B4E" w:val="clear"/>
            <w:tcMar>
              <w:top w:type="dxa" w:w="90"/>
              <w:left w:type="dxa" w:w="140"/>
              <w:bottom w:type="dxa" w:w="90"/>
              <w:right w:type="dxa" w:w="140"/>
            </w:tcMar>
            <w:vAlign w:val="center"/>
          </w:tcPr>
          <w:p>
            <w:pPr>
              <w:spacing w:after="0" w:before="0"/>
              <w:jc w:val="center"/>
            </w:pPr>
            <w:r>
              <w:rPr>
                <w:rFonts w:ascii="Calibri" w:cs="Calibri" w:eastAsia="Calibri" w:hAnsi="Calibri"/>
                <w:b/>
                <w:bCs/>
                <w:color w:val="FFFFFF"/>
                <w:sz w:val="19"/>
                <w:szCs w:val="19"/>
              </w:rPr>
              <w:t xml:space="preserve">Actividades clave</w:t>
            </w:r>
          </w:p>
        </w:tc>
      </w:tr>
      <w:tr>
        <w:tc>
          <w:tcPr>
            <w:tcW w:type="dxa" w:w="1200"/>
            <w:tcBorders>
              <w:top w:val="single" w:color="D0D7DE" w:sz="1"/>
              <w:left w:val="single" w:color="D0D7DE" w:sz="1"/>
              <w:bottom w:val="single" w:color="D0D7DE" w:sz="1"/>
              <w:right w:val="single" w:color="D0D7DE" w:sz="1"/>
            </w:tcBorders>
            <w:shd w:fill="0D2B4E" w:val="clear"/>
            <w:tcMar>
              <w:top w:type="dxa" w:w="80"/>
              <w:left w:type="dxa" w:w="140"/>
              <w:bottom w:type="dxa" w:w="80"/>
              <w:right w:type="dxa" w:w="140"/>
            </w:tcMar>
            <w:vAlign w:val="top"/>
          </w:tcPr>
          <w:p>
            <w:pPr>
              <w:spacing w:after="0" w:before="0"/>
              <w:jc w:val="left"/>
            </w:pPr>
            <w:r>
              <w:rPr>
                <w:rFonts w:ascii="Calibri" w:cs="Calibri" w:eastAsia="Calibri" w:hAnsi="Calibri"/>
                <w:b/>
                <w:bCs/>
                <w:color w:val="FFFFFF"/>
                <w:sz w:val="19"/>
                <w:szCs w:val="19"/>
              </w:rPr>
              <w:t xml:space="preserve">Fase 0</w:t>
            </w:r>
          </w:p>
        </w:tc>
        <w:tc>
          <w:tcPr>
            <w:tcW w:type="dxa" w:w="120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Mes 1</w:t>
            </w:r>
          </w:p>
        </w:tc>
        <w:tc>
          <w:tcPr>
            <w:tcW w:type="dxa" w:w="190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bCs/>
                <w:color w:val="1565C0"/>
                <w:sz w:val="19"/>
                <w:szCs w:val="19"/>
              </w:rPr>
              <w:t xml:space="preserve">Preparación</w:t>
            </w:r>
          </w:p>
        </w:tc>
        <w:tc>
          <w:tcPr>
            <w:tcW w:type="dxa" w:w="506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Auditoría M365, licenciamiento Copilot, configuración de tenant, definición de KPI baseline, designación del equipo de proyecto.</w:t>
            </w:r>
          </w:p>
        </w:tc>
      </w:tr>
      <w:tr>
        <w:tc>
          <w:tcPr>
            <w:tcW w:type="dxa" w:w="1200"/>
            <w:tcBorders>
              <w:top w:val="single" w:color="D0D7DE" w:sz="1"/>
              <w:left w:val="single" w:color="D0D7DE" w:sz="1"/>
              <w:bottom w:val="single" w:color="D0D7DE" w:sz="1"/>
              <w:right w:val="single" w:color="D0D7DE" w:sz="1"/>
            </w:tcBorders>
            <w:shd w:fill="1E5799" w:val="clear"/>
            <w:tcMar>
              <w:top w:type="dxa" w:w="80"/>
              <w:left w:type="dxa" w:w="140"/>
              <w:bottom w:type="dxa" w:w="80"/>
              <w:right w:type="dxa" w:w="140"/>
            </w:tcMar>
            <w:vAlign w:val="top"/>
          </w:tcPr>
          <w:p>
            <w:pPr>
              <w:spacing w:after="0" w:before="0"/>
              <w:jc w:val="left"/>
            </w:pPr>
            <w:r>
              <w:rPr>
                <w:rFonts w:ascii="Calibri" w:cs="Calibri" w:eastAsia="Calibri" w:hAnsi="Calibri"/>
                <w:b/>
                <w:bCs/>
                <w:color w:val="FFFFFF"/>
                <w:sz w:val="19"/>
                <w:szCs w:val="19"/>
              </w:rPr>
              <w:t xml:space="preserve">Fase 1</w:t>
            </w:r>
          </w:p>
        </w:tc>
        <w:tc>
          <w:tcPr>
            <w:tcW w:type="dxa" w:w="120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Meses 2-3</w:t>
            </w:r>
          </w:p>
        </w:tc>
        <w:tc>
          <w:tcPr>
            <w:tcW w:type="dxa" w:w="190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bCs/>
                <w:color w:val="1565C0"/>
                <w:sz w:val="19"/>
                <w:szCs w:val="19"/>
              </w:rPr>
              <w:t xml:space="preserve">Piloto Controlado</w:t>
            </w:r>
          </w:p>
        </w:tc>
        <w:tc>
          <w:tcPr>
            <w:tcW w:type="dxa" w:w="506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Despliegue en 3 departamentos (IT, RRHH, Operaciones). Formación inicial, primeros prompts corporativos, recogida de feedback semanal.</w:t>
            </w:r>
          </w:p>
        </w:tc>
      </w:tr>
      <w:tr>
        <w:tc>
          <w:tcPr>
            <w:tcW w:type="dxa" w:w="1200"/>
            <w:tcBorders>
              <w:top w:val="single" w:color="D0D7DE" w:sz="1"/>
              <w:left w:val="single" w:color="D0D7DE" w:sz="1"/>
              <w:bottom w:val="single" w:color="D0D7DE" w:sz="1"/>
              <w:right w:val="single" w:color="D0D7DE" w:sz="1"/>
            </w:tcBorders>
            <w:shd w:fill="0D47A1" w:val="clear"/>
            <w:tcMar>
              <w:top w:type="dxa" w:w="80"/>
              <w:left w:type="dxa" w:w="140"/>
              <w:bottom w:type="dxa" w:w="80"/>
              <w:right w:type="dxa" w:w="140"/>
            </w:tcMar>
            <w:vAlign w:val="top"/>
          </w:tcPr>
          <w:p>
            <w:pPr>
              <w:spacing w:after="0" w:before="0"/>
              <w:jc w:val="left"/>
            </w:pPr>
            <w:r>
              <w:rPr>
                <w:rFonts w:ascii="Calibri" w:cs="Calibri" w:eastAsia="Calibri" w:hAnsi="Calibri"/>
                <w:b/>
                <w:bCs/>
                <w:color w:val="FFFFFF"/>
                <w:sz w:val="19"/>
                <w:szCs w:val="19"/>
              </w:rPr>
              <w:t xml:space="preserve">Fase 2</w:t>
            </w:r>
          </w:p>
        </w:tc>
        <w:tc>
          <w:tcPr>
            <w:tcW w:type="dxa" w:w="120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Meses 4-5</w:t>
            </w:r>
          </w:p>
        </w:tc>
        <w:tc>
          <w:tcPr>
            <w:tcW w:type="dxa" w:w="190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bCs/>
                <w:color w:val="1565C0"/>
                <w:sz w:val="19"/>
                <w:szCs w:val="19"/>
              </w:rPr>
              <w:t xml:space="preserve">Expansión Guiada</w:t>
            </w:r>
          </w:p>
        </w:tc>
        <w:tc>
          <w:tcPr>
            <w:tcW w:type="dxa" w:w="506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Incorporación de Ventas, Marketing y Finanzas. Activación de Copilot en Teams, SharePoint y Excel. Revisión intermedia de KPIs.</w:t>
            </w:r>
          </w:p>
        </w:tc>
      </w:tr>
      <w:tr>
        <w:tc>
          <w:tcPr>
            <w:tcW w:type="dxa" w:w="1200"/>
            <w:tcBorders>
              <w:top w:val="single" w:color="D0D7DE" w:sz="1"/>
              <w:left w:val="single" w:color="D0D7DE" w:sz="1"/>
              <w:bottom w:val="single" w:color="D0D7DE" w:sz="1"/>
              <w:right w:val="single" w:color="D0D7DE" w:sz="1"/>
            </w:tcBorders>
            <w:shd w:fill="0A2E6B" w:val="clear"/>
            <w:tcMar>
              <w:top w:type="dxa" w:w="80"/>
              <w:left w:type="dxa" w:w="140"/>
              <w:bottom w:type="dxa" w:w="80"/>
              <w:right w:type="dxa" w:w="140"/>
            </w:tcMar>
            <w:vAlign w:val="top"/>
          </w:tcPr>
          <w:p>
            <w:pPr>
              <w:spacing w:after="0" w:before="0"/>
              <w:jc w:val="left"/>
            </w:pPr>
            <w:r>
              <w:rPr>
                <w:rFonts w:ascii="Calibri" w:cs="Calibri" w:eastAsia="Calibri" w:hAnsi="Calibri"/>
                <w:b/>
                <w:bCs/>
                <w:color w:val="FFFFFF"/>
                <w:sz w:val="19"/>
                <w:szCs w:val="19"/>
              </w:rPr>
              <w:t xml:space="preserve">Fase 3</w:t>
            </w:r>
          </w:p>
        </w:tc>
        <w:tc>
          <w:tcPr>
            <w:tcW w:type="dxa" w:w="120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Mes 6</w:t>
            </w:r>
          </w:p>
        </w:tc>
        <w:tc>
          <w:tcPr>
            <w:tcW w:type="dxa" w:w="190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bCs/>
                <w:color w:val="1565C0"/>
                <w:sz w:val="19"/>
                <w:szCs w:val="19"/>
              </w:rPr>
              <w:t xml:space="preserve">Evaluación y Escala</w:t>
            </w:r>
          </w:p>
        </w:tc>
        <w:tc>
          <w:tcPr>
            <w:tcW w:type="dxa" w:w="506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Análisis de resultados del piloto, decisión de despliegue corporativo completo, actualización de política y hoja de ruta 2026.</w:t>
            </w:r>
          </w:p>
        </w:tc>
      </w:tr>
    </w:tbl>
    <w:p>
      <w:pPr>
        <w:spacing w:after="80" w:before="0"/>
      </w:pPr>
      <w:r>
        <w:t xml:space="preserve"/>
      </w:r>
    </w:p>
    <w:p>
      <w:pPr>
        <w:pStyle w:val="Heading1"/>
        <w:pBdr>
          <w:bottom w:val="single" w:color="1565C0" w:sz="6" w:space="4"/>
        </w:pBdr>
        <w:spacing w:after="100" w:before="280"/>
      </w:pPr>
      <w:r>
        <w:rPr>
          <w:rFonts w:ascii="Calibri" w:cs="Calibri" w:eastAsia="Calibri" w:hAnsi="Calibri"/>
          <w:b/>
          <w:bCs/>
          <w:color w:val="0D2B4E"/>
          <w:sz w:val="26"/>
          <w:szCs w:val="26"/>
        </w:rPr>
        <w:t xml:space="preserve">9. Formación y Adopción</w:t>
      </w:r>
    </w:p>
    <w:p>
      <w:pPr>
        <w:pStyle w:val="Heading2"/>
        <w:spacing w:after="80" w:before="200"/>
      </w:pPr>
      <w:r>
        <w:rPr>
          <w:rFonts w:ascii="Calibri" w:cs="Calibri" w:eastAsia="Calibri" w:hAnsi="Calibri"/>
          <w:b/>
          <w:bCs/>
          <w:color w:val="1565C0"/>
          <w:sz w:val="22"/>
          <w:szCs w:val="22"/>
        </w:rPr>
        <w:t xml:space="preserve">9.1 Plan de formación</w:t>
      </w:r>
    </w:p>
    <w:p>
      <w:pPr>
        <w:spacing w:after="100" w:before="0"/>
        <w:jc w:val="both"/>
      </w:pPr>
      <w:r>
        <w:rPr>
          <w:rFonts w:ascii="Calibri" w:cs="Calibri" w:eastAsia="Calibri" w:hAnsi="Calibri"/>
          <w:color w:val="1A1A1A"/>
          <w:sz w:val="20"/>
          <w:szCs w:val="20"/>
        </w:rPr>
        <w:t xml:space="preserve">La formación es el factor crítico de éxito del proyecto. Se estructurará en tres niveles:</w:t>
      </w:r>
    </w:p>
    <w:p>
      <w:pPr>
        <w:spacing w:after="40" w:before="0"/>
      </w:pPr>
      <w:r>
        <w:t xml:space="preserve"/>
      </w:r>
    </w:p>
    <w:p>
      <w:pPr>
        <w:pStyle w:val="ListParagraph"/>
        <w:numPr>
          <w:ilvl w:val="0"/>
          <w:numId w:val="2"/>
        </w:numPr>
        <w:spacing w:after="60" w:before="0"/>
        <w:jc w:val="both"/>
      </w:pPr>
      <w:r>
        <w:rPr>
          <w:rFonts w:ascii="Calibri" w:cs="Calibri" w:eastAsia="Calibri" w:hAnsi="Calibri"/>
          <w:color w:val="1A1A1A"/>
          <w:sz w:val="20"/>
          <w:szCs w:val="20"/>
        </w:rPr>
        <w:t xml:space="preserve">Nivel fundacional (obligatorio para todos los usuarios): sesión de 3 horas sobre conceptos básicos de IA generativa, política interna de uso y primeros pasos con Copilot en M365.</w:t>
      </w:r>
    </w:p>
    <w:p>
      <w:pPr>
        <w:pStyle w:val="ListParagraph"/>
        <w:numPr>
          <w:ilvl w:val="0"/>
          <w:numId w:val="2"/>
        </w:numPr>
        <w:spacing w:after="60" w:before="0"/>
        <w:jc w:val="both"/>
      </w:pPr>
      <w:r>
        <w:rPr>
          <w:rFonts w:ascii="Calibri" w:cs="Calibri" w:eastAsia="Calibri" w:hAnsi="Calibri"/>
          <w:color w:val="1A1A1A"/>
          <w:sz w:val="20"/>
          <w:szCs w:val="20"/>
        </w:rPr>
        <w:t xml:space="preserve">Nivel avanzado por área (grupos de 8-12 personas): talleres prácticos de 4 horas centrados en los casos de uso específicos de cada departamento, con ejercicios reales sobre sus propios documentos y flujos de trabajo.</w:t>
      </w:r>
    </w:p>
    <w:p>
      <w:pPr>
        <w:pStyle w:val="ListParagraph"/>
        <w:numPr>
          <w:ilvl w:val="0"/>
          <w:numId w:val="2"/>
        </w:numPr>
        <w:spacing w:after="60" w:before="0"/>
        <w:jc w:val="both"/>
      </w:pPr>
      <w:r>
        <w:rPr>
          <w:rFonts w:ascii="Calibri" w:cs="Calibri" w:eastAsia="Calibri" w:hAnsi="Calibri"/>
          <w:color w:val="1A1A1A"/>
          <w:sz w:val="20"/>
          <w:szCs w:val="20"/>
        </w:rPr>
        <w:t xml:space="preserve">Nivel experto — Copilot Champions: selección de 2-3 embajadores por departamento que actuarán como referentes internos y canalizarán el feedback hacia el equipo de proyecto.</w:t>
      </w:r>
    </w:p>
    <w:p>
      <w:pPr>
        <w:spacing w:after="60" w:before="0"/>
      </w:pPr>
      <w:r>
        <w:t xml:space="preserve"/>
      </w:r>
    </w:p>
    <w:p>
      <w:pPr>
        <w:pStyle w:val="Heading2"/>
        <w:spacing w:after="80" w:before="200"/>
      </w:pPr>
      <w:r>
        <w:rPr>
          <w:rFonts w:ascii="Calibri" w:cs="Calibri" w:eastAsia="Calibri" w:hAnsi="Calibri"/>
          <w:b/>
          <w:bCs/>
          <w:color w:val="1565C0"/>
          <w:sz w:val="22"/>
          <w:szCs w:val="22"/>
        </w:rPr>
        <w:t xml:space="preserve">9.2 Recursos de apoyo continuo</w:t>
      </w:r>
    </w:p>
    <w:p>
      <w:pPr>
        <w:pStyle w:val="ListParagraph"/>
        <w:numPr>
          <w:ilvl w:val="0"/>
          <w:numId w:val="2"/>
        </w:numPr>
        <w:spacing w:after="60" w:before="0"/>
        <w:jc w:val="both"/>
      </w:pPr>
      <w:r>
        <w:rPr>
          <w:rFonts w:ascii="Calibri" w:cs="Calibri" w:eastAsia="Calibri" w:hAnsi="Calibri"/>
          <w:color w:val="1A1A1A"/>
          <w:sz w:val="20"/>
          <w:szCs w:val="20"/>
        </w:rPr>
        <w:t xml:space="preserve">Portal de conocimiento en SharePoint con biblioteca de prompts corporativos validados, actualizada quincenalmente.</w:t>
      </w:r>
    </w:p>
    <w:p>
      <w:pPr>
        <w:pStyle w:val="ListParagraph"/>
        <w:numPr>
          <w:ilvl w:val="0"/>
          <w:numId w:val="2"/>
        </w:numPr>
        <w:spacing w:after="60" w:before="0"/>
        <w:jc w:val="both"/>
      </w:pPr>
      <w:r>
        <w:rPr>
          <w:rFonts w:ascii="Calibri" w:cs="Calibri" w:eastAsia="Calibri" w:hAnsi="Calibri"/>
          <w:color w:val="1A1A1A"/>
          <w:sz w:val="20"/>
          <w:szCs w:val="20"/>
        </w:rPr>
        <w:t xml:space="preserve">Canal de Teams «Copilot @ Empresa» para preguntas, compartición de casos de uso y anuncios del proyecto.</w:t>
      </w:r>
    </w:p>
    <w:p>
      <w:pPr>
        <w:pStyle w:val="ListParagraph"/>
        <w:numPr>
          <w:ilvl w:val="0"/>
          <w:numId w:val="2"/>
        </w:numPr>
        <w:spacing w:after="60" w:before="0"/>
        <w:jc w:val="both"/>
      </w:pPr>
      <w:r>
        <w:rPr>
          <w:rFonts w:ascii="Calibri" w:cs="Calibri" w:eastAsia="Calibri" w:hAnsi="Calibri"/>
          <w:color w:val="1A1A1A"/>
          <w:sz w:val="20"/>
          <w:szCs w:val="20"/>
        </w:rPr>
        <w:t xml:space="preserve">Sesiones de Q&amp;A abiertas mensuales con el equipo de Transformación Digital.</w:t>
      </w:r>
    </w:p>
    <w:p>
      <w:pPr>
        <w:pStyle w:val="ListParagraph"/>
        <w:numPr>
          <w:ilvl w:val="0"/>
          <w:numId w:val="2"/>
        </w:numPr>
        <w:spacing w:after="60" w:before="0"/>
        <w:jc w:val="both"/>
      </w:pPr>
      <w:r>
        <w:rPr>
          <w:rFonts w:ascii="Calibri" w:cs="Calibri" w:eastAsia="Calibri" w:hAnsi="Calibri"/>
          <w:color w:val="1A1A1A"/>
          <w:sz w:val="20"/>
          <w:szCs w:val="20"/>
        </w:rPr>
        <w:t xml:space="preserve">Tutoriales en vídeo (Microsoft Adoption Hub) y ruta de aprendizaje personalizada en Microsoft Viva Learning.</w:t>
      </w:r>
    </w:p>
    <w:p>
      <w:pPr>
        <w:spacing w:after="80" w:before="0"/>
      </w:pPr>
      <w:r>
        <w:t xml:space="preserve"/>
      </w:r>
    </w:p>
    <w:p>
      <w:pPr>
        <w:pStyle w:val="Heading1"/>
        <w:pBdr>
          <w:bottom w:val="single" w:color="1565C0" w:sz="6" w:space="4"/>
        </w:pBdr>
        <w:spacing w:after="100" w:before="280"/>
      </w:pPr>
      <w:r>
        <w:rPr>
          <w:rFonts w:ascii="Calibri" w:cs="Calibri" w:eastAsia="Calibri" w:hAnsi="Calibri"/>
          <w:b/>
          <w:bCs/>
          <w:color w:val="0D2B4E"/>
          <w:sz w:val="26"/>
          <w:szCs w:val="26"/>
        </w:rPr>
        <w:t xml:space="preserve">10. Gobernanza del Proyecto</w:t>
      </w:r>
    </w:p>
    <w:p>
      <w:pPr>
        <w:spacing w:after="100" w:before="0"/>
        <w:jc w:val="both"/>
      </w:pPr>
      <w:r>
        <w:rPr>
          <w:rFonts w:ascii="Calibri" w:cs="Calibri" w:eastAsia="Calibri" w:hAnsi="Calibri"/>
          <w:color w:val="1A1A1A"/>
          <w:sz w:val="20"/>
          <w:szCs w:val="20"/>
        </w:rPr>
        <w:t xml:space="preserve">El proyecto contará con una estructura de gobernanza ligera pero efectiva, orientada a la agilidad y a la toma de decisiones basada en datos:</w:t>
      </w:r>
    </w:p>
    <w:p>
      <w:pPr>
        <w:spacing w:after="40" w:before="0"/>
      </w:pPr>
      <w:r>
        <w:t xml:space="preserve"/>
      </w:r>
    </w:p>
    <w:p>
      <w:pPr>
        <w:pStyle w:val="ListParagraph"/>
        <w:numPr>
          <w:ilvl w:val="0"/>
          <w:numId w:val="2"/>
        </w:numPr>
        <w:spacing w:after="60" w:before="0"/>
        <w:jc w:val="both"/>
      </w:pPr>
      <w:r>
        <w:rPr>
          <w:rFonts w:ascii="Calibri" w:cs="Calibri" w:eastAsia="Calibri" w:hAnsi="Calibri"/>
          <w:color w:val="1A1A1A"/>
          <w:sz w:val="20"/>
          <w:szCs w:val="20"/>
        </w:rPr>
        <w:t xml:space="preserve">Comité Ejecutivo de IA (mensual): formado por Dirección General, CISO, Director de IT y Director de Transformación Digital. Responsable de la aprobación de decisiones estratégicas y presupuestarias.</w:t>
      </w:r>
    </w:p>
    <w:p>
      <w:pPr>
        <w:pStyle w:val="ListParagraph"/>
        <w:numPr>
          <w:ilvl w:val="0"/>
          <w:numId w:val="2"/>
        </w:numPr>
        <w:spacing w:after="60" w:before="0"/>
        <w:jc w:val="both"/>
      </w:pPr>
      <w:r>
        <w:rPr>
          <w:rFonts w:ascii="Calibri" w:cs="Calibri" w:eastAsia="Calibri" w:hAnsi="Calibri"/>
          <w:color w:val="1A1A1A"/>
          <w:sz w:val="20"/>
          <w:szCs w:val="20"/>
        </w:rPr>
        <w:t xml:space="preserve">Equipo de Proyecto Copilot (quincenal): coordinado por el responsable de Transformación Digital con participación de IT, RRHH y los Copilot Champions de cada departamento.</w:t>
      </w:r>
    </w:p>
    <w:p>
      <w:pPr>
        <w:pStyle w:val="ListParagraph"/>
        <w:numPr>
          <w:ilvl w:val="0"/>
          <w:numId w:val="2"/>
        </w:numPr>
        <w:spacing w:after="60" w:before="0"/>
        <w:jc w:val="both"/>
      </w:pPr>
      <w:r>
        <w:rPr>
          <w:rFonts w:ascii="Calibri" w:cs="Calibri" w:eastAsia="Calibri" w:hAnsi="Calibri"/>
          <w:color w:val="1A1A1A"/>
          <w:sz w:val="20"/>
          <w:szCs w:val="20"/>
        </w:rPr>
        <w:t xml:space="preserve">Revisión de KPIs (mensual): presentación formal de resultados con comparativa frente a baseline e identificación de acciones correctoras.</w:t>
      </w:r>
    </w:p>
    <w:p>
      <w:pPr>
        <w:pStyle w:val="ListParagraph"/>
        <w:numPr>
          <w:ilvl w:val="0"/>
          <w:numId w:val="2"/>
        </w:numPr>
        <w:spacing w:after="60" w:before="0"/>
        <w:jc w:val="both"/>
      </w:pPr>
      <w:r>
        <w:rPr>
          <w:rFonts w:ascii="Calibri" w:cs="Calibri" w:eastAsia="Calibri" w:hAnsi="Calibri"/>
          <w:color w:val="1A1A1A"/>
          <w:sz w:val="20"/>
          <w:szCs w:val="20"/>
        </w:rPr>
        <w:t xml:space="preserve">Política de uso: cualquier herramienta de IA adicional deberá pasar por el proceso de aprobación definido en la Política Interna de Uso de IA vigente.</w:t>
      </w:r>
    </w:p>
    <w:p>
      <w:pPr>
        <w:spacing w:after="60" w:before="0"/>
      </w:pPr>
      <w:r>
        <w:t xml:space="preserve"/>
      </w:r>
    </w:p>
    <w:p>
      <w:pPr>
        <w:spacing w:after="100" w:before="0"/>
        <w:jc w:val="both"/>
      </w:pPr>
      <w:r>
        <w:rPr>
          <w:rFonts w:ascii="Calibri" w:cs="Calibri" w:eastAsia="Calibri" w:hAnsi="Calibri"/>
          <w:color w:val="1A1A1A"/>
          <w:sz w:val="20"/>
          <w:szCs w:val="20"/>
        </w:rPr>
        <w:t xml:space="preserve">Toda la documentación del proyecto se gestionará en el sitio SharePoint habilitado para tal efecto, con control de versiones activado y acceso restringido a los miembros del equipo de proyecto y el Comité Ejecutivo.</w:t>
      </w:r>
    </w:p>
    <w:p>
      <w:pPr>
        <w:spacing w:after="80" w:before="0"/>
      </w:pPr>
      <w:r>
        <w:t xml:space="preserve"/>
      </w:r>
    </w:p>
    <w:p>
      <w:pPr>
        <w:pStyle w:val="Heading1"/>
        <w:pBdr>
          <w:bottom w:val="single" w:color="1565C0" w:sz="6" w:space="4"/>
        </w:pBdr>
        <w:spacing w:after="100" w:before="280"/>
      </w:pPr>
      <w:r>
        <w:rPr>
          <w:rFonts w:ascii="Calibri" w:cs="Calibri" w:eastAsia="Calibri" w:hAnsi="Calibri"/>
          <w:b/>
          <w:bCs/>
          <w:color w:val="0D2B4E"/>
          <w:sz w:val="26"/>
          <w:szCs w:val="26"/>
        </w:rPr>
        <w:t xml:space="preserve">11. Indicadores de Seguimiento (KPIs)</w:t>
      </w:r>
    </w:p>
    <w:p>
      <w:pPr>
        <w:spacing w:after="100" w:before="0"/>
        <w:jc w:val="both"/>
      </w:pPr>
      <w:r>
        <w:rPr>
          <w:rFonts w:ascii="Calibri" w:cs="Calibri" w:eastAsia="Calibri" w:hAnsi="Calibri"/>
          <w:color w:val="1A1A1A"/>
          <w:sz w:val="20"/>
          <w:szCs w:val="20"/>
        </w:rPr>
        <w:t xml:space="preserve">Los siguientes indicadores permitirán evaluar el avance del piloto y tomar decisiones fundamentadas sobre el despliegue corporativo:</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300"/>
        <w:gridCol w:w="2000"/>
        <w:gridCol w:w="1260"/>
      </w:tblGrid>
      <w:tr>
        <w:tc>
          <w:tcPr>
            <w:tcW w:type="dxa" w:w="2800"/>
            <w:tcBorders>
              <w:top w:val="single" w:color="0D2B4E" w:sz="1"/>
              <w:left w:val="single" w:color="0D2B4E" w:sz="1"/>
              <w:bottom w:val="single" w:color="0D2B4E" w:sz="1"/>
              <w:right w:val="single" w:color="0D2B4E" w:sz="1"/>
            </w:tcBorders>
            <w:shd w:fill="0D2B4E" w:val="clear"/>
            <w:tcMar>
              <w:top w:type="dxa" w:w="90"/>
              <w:left w:type="dxa" w:w="140"/>
              <w:bottom w:type="dxa" w:w="90"/>
              <w:right w:type="dxa" w:w="140"/>
            </w:tcMar>
            <w:vAlign w:val="center"/>
          </w:tcPr>
          <w:p>
            <w:pPr>
              <w:spacing w:after="0" w:before="0"/>
              <w:jc w:val="center"/>
            </w:pPr>
            <w:r>
              <w:rPr>
                <w:rFonts w:ascii="Calibri" w:cs="Calibri" w:eastAsia="Calibri" w:hAnsi="Calibri"/>
                <w:b/>
                <w:bCs/>
                <w:color w:val="FFFFFF"/>
                <w:sz w:val="19"/>
                <w:szCs w:val="19"/>
              </w:rPr>
              <w:t xml:space="preserve">Indicador</w:t>
            </w:r>
          </w:p>
        </w:tc>
        <w:tc>
          <w:tcPr>
            <w:tcW w:type="dxa" w:w="2300"/>
            <w:tcBorders>
              <w:top w:val="single" w:color="0D2B4E" w:sz="1"/>
              <w:left w:val="single" w:color="0D2B4E" w:sz="1"/>
              <w:bottom w:val="single" w:color="0D2B4E" w:sz="1"/>
              <w:right w:val="single" w:color="0D2B4E" w:sz="1"/>
            </w:tcBorders>
            <w:shd w:fill="0D2B4E" w:val="clear"/>
            <w:tcMar>
              <w:top w:type="dxa" w:w="90"/>
              <w:left w:type="dxa" w:w="140"/>
              <w:bottom w:type="dxa" w:w="90"/>
              <w:right w:type="dxa" w:w="140"/>
            </w:tcMar>
            <w:vAlign w:val="center"/>
          </w:tcPr>
          <w:p>
            <w:pPr>
              <w:spacing w:after="0" w:before="0"/>
              <w:jc w:val="center"/>
            </w:pPr>
            <w:r>
              <w:rPr>
                <w:rFonts w:ascii="Calibri" w:cs="Calibri" w:eastAsia="Calibri" w:hAnsi="Calibri"/>
                <w:b/>
                <w:bCs/>
                <w:color w:val="FFFFFF"/>
                <w:sz w:val="19"/>
                <w:szCs w:val="19"/>
              </w:rPr>
              <w:t xml:space="preserve">Fórmula de medición</w:t>
            </w:r>
          </w:p>
        </w:tc>
        <w:tc>
          <w:tcPr>
            <w:tcW w:type="dxa" w:w="2000"/>
            <w:tcBorders>
              <w:top w:val="single" w:color="0D2B4E" w:sz="1"/>
              <w:left w:val="single" w:color="0D2B4E" w:sz="1"/>
              <w:bottom w:val="single" w:color="0D2B4E" w:sz="1"/>
              <w:right w:val="single" w:color="0D2B4E" w:sz="1"/>
            </w:tcBorders>
            <w:shd w:fill="0D2B4E" w:val="clear"/>
            <w:tcMar>
              <w:top w:type="dxa" w:w="90"/>
              <w:left w:type="dxa" w:w="140"/>
              <w:bottom w:type="dxa" w:w="90"/>
              <w:right w:type="dxa" w:w="140"/>
            </w:tcMar>
            <w:vAlign w:val="center"/>
          </w:tcPr>
          <w:p>
            <w:pPr>
              <w:spacing w:after="0" w:before="0"/>
              <w:jc w:val="center"/>
            </w:pPr>
            <w:r>
              <w:rPr>
                <w:rFonts w:ascii="Calibri" w:cs="Calibri" w:eastAsia="Calibri" w:hAnsi="Calibri"/>
                <w:b/>
                <w:bCs/>
                <w:color w:val="FFFFFF"/>
                <w:sz w:val="19"/>
                <w:szCs w:val="19"/>
              </w:rPr>
              <w:t xml:space="preserve">Objetivo piloto</w:t>
            </w:r>
          </w:p>
        </w:tc>
        <w:tc>
          <w:tcPr>
            <w:tcW w:type="dxa" w:w="1260"/>
            <w:tcBorders>
              <w:top w:val="single" w:color="0D2B4E" w:sz="1"/>
              <w:left w:val="single" w:color="0D2B4E" w:sz="1"/>
              <w:bottom w:val="single" w:color="0D2B4E" w:sz="1"/>
              <w:right w:val="single" w:color="0D2B4E" w:sz="1"/>
            </w:tcBorders>
            <w:shd w:fill="0D2B4E" w:val="clear"/>
            <w:tcMar>
              <w:top w:type="dxa" w:w="90"/>
              <w:left w:type="dxa" w:w="140"/>
              <w:bottom w:type="dxa" w:w="90"/>
              <w:right w:type="dxa" w:w="140"/>
            </w:tcMar>
            <w:vAlign w:val="center"/>
          </w:tcPr>
          <w:p>
            <w:pPr>
              <w:spacing w:after="0" w:before="0"/>
              <w:jc w:val="center"/>
            </w:pPr>
            <w:r>
              <w:rPr>
                <w:rFonts w:ascii="Calibri" w:cs="Calibri" w:eastAsia="Calibri" w:hAnsi="Calibri"/>
                <w:b/>
                <w:bCs/>
                <w:color w:val="FFFFFF"/>
                <w:sz w:val="19"/>
                <w:szCs w:val="19"/>
              </w:rPr>
              <w:t xml:space="preserve">Frecuencia</w:t>
            </w:r>
          </w:p>
        </w:tc>
      </w:tr>
      <w:tr>
        <w:tc>
          <w:tcPr>
            <w:tcW w:type="dxa" w:w="280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bCs/>
                <w:color w:val="1A1A1A"/>
                <w:sz w:val="19"/>
                <w:szCs w:val="19"/>
              </w:rPr>
              <w:t xml:space="preserve">Tasa de adopción de Copilot</w:t>
            </w:r>
          </w:p>
        </w:tc>
        <w:tc>
          <w:tcPr>
            <w:tcW w:type="dxa" w:w="230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 usuarios activos / total licencias</w:t>
            </w:r>
          </w:p>
        </w:tc>
        <w:tc>
          <w:tcPr>
            <w:tcW w:type="dxa" w:w="200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B5E20"/>
                <w:sz w:val="19"/>
                <w:szCs w:val="19"/>
              </w:rPr>
              <w:t xml:space="preserve">&gt; 75% en semana 8</w:t>
            </w:r>
          </w:p>
        </w:tc>
        <w:tc>
          <w:tcPr>
            <w:tcW w:type="dxa" w:w="126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546E7A"/>
                <w:sz w:val="19"/>
                <w:szCs w:val="19"/>
              </w:rPr>
              <w:t xml:space="preserve">Mensual</w:t>
            </w:r>
          </w:p>
        </w:tc>
      </w:tr>
      <w:tr>
        <w:tc>
          <w:tcPr>
            <w:tcW w:type="dxa" w:w="280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bCs/>
                <w:color w:val="1A1A1A"/>
                <w:sz w:val="19"/>
                <w:szCs w:val="19"/>
              </w:rPr>
              <w:t xml:space="preserve">Tiempo medio de redacción documental</w:t>
            </w:r>
          </w:p>
        </w:tc>
        <w:tc>
          <w:tcPr>
            <w:tcW w:type="dxa" w:w="230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Minutos por documento tipo</w:t>
            </w:r>
          </w:p>
        </w:tc>
        <w:tc>
          <w:tcPr>
            <w:tcW w:type="dxa" w:w="200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B5E20"/>
                <w:sz w:val="19"/>
                <w:szCs w:val="19"/>
              </w:rPr>
              <w:t xml:space="preserve">Reducción del 30%</w:t>
            </w:r>
          </w:p>
        </w:tc>
        <w:tc>
          <w:tcPr>
            <w:tcW w:type="dxa" w:w="126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546E7A"/>
                <w:sz w:val="19"/>
                <w:szCs w:val="19"/>
              </w:rPr>
              <w:t xml:space="preserve">Quincenal</w:t>
            </w:r>
          </w:p>
        </w:tc>
      </w:tr>
      <w:tr>
        <w:tc>
          <w:tcPr>
            <w:tcW w:type="dxa" w:w="280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bCs/>
                <w:color w:val="1A1A1A"/>
                <w:sz w:val="19"/>
                <w:szCs w:val="19"/>
              </w:rPr>
              <w:t xml:space="preserve">Resúmenes de reunión generados</w:t>
            </w:r>
          </w:p>
        </w:tc>
        <w:tc>
          <w:tcPr>
            <w:tcW w:type="dxa" w:w="230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Actas automáticas vs. manuales</w:t>
            </w:r>
          </w:p>
        </w:tc>
        <w:tc>
          <w:tcPr>
            <w:tcW w:type="dxa" w:w="200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B5E20"/>
                <w:sz w:val="19"/>
                <w:szCs w:val="19"/>
              </w:rPr>
              <w:t xml:space="preserve">&gt; 60% automáticas</w:t>
            </w:r>
          </w:p>
        </w:tc>
        <w:tc>
          <w:tcPr>
            <w:tcW w:type="dxa" w:w="126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546E7A"/>
                <w:sz w:val="19"/>
                <w:szCs w:val="19"/>
              </w:rPr>
              <w:t xml:space="preserve">Mensual</w:t>
            </w:r>
          </w:p>
        </w:tc>
      </w:tr>
      <w:tr>
        <w:tc>
          <w:tcPr>
            <w:tcW w:type="dxa" w:w="280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bCs/>
                <w:color w:val="1A1A1A"/>
                <w:sz w:val="19"/>
                <w:szCs w:val="19"/>
              </w:rPr>
              <w:t xml:space="preserve">Satisfacción del empleado (eNPS IA)</w:t>
            </w:r>
          </w:p>
        </w:tc>
        <w:tc>
          <w:tcPr>
            <w:tcW w:type="dxa" w:w="230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Encuesta interna de adopción</w:t>
            </w:r>
          </w:p>
        </w:tc>
        <w:tc>
          <w:tcPr>
            <w:tcW w:type="dxa" w:w="200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B5E20"/>
                <w:sz w:val="19"/>
                <w:szCs w:val="19"/>
              </w:rPr>
              <w:t xml:space="preserve">Score &gt; 7/10</w:t>
            </w:r>
          </w:p>
        </w:tc>
        <w:tc>
          <w:tcPr>
            <w:tcW w:type="dxa" w:w="126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546E7A"/>
                <w:sz w:val="19"/>
                <w:szCs w:val="19"/>
              </w:rPr>
              <w:t xml:space="preserve">Mensual</w:t>
            </w:r>
          </w:p>
        </w:tc>
      </w:tr>
      <w:tr>
        <w:tc>
          <w:tcPr>
            <w:tcW w:type="dxa" w:w="280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bCs/>
                <w:color w:val="1A1A1A"/>
                <w:sz w:val="19"/>
                <w:szCs w:val="19"/>
              </w:rPr>
              <w:t xml:space="preserve">Incidencias de seguridad IA</w:t>
            </w:r>
          </w:p>
        </w:tc>
        <w:tc>
          <w:tcPr>
            <w:tcW w:type="dxa" w:w="230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Reportes al canal IT</w:t>
            </w:r>
          </w:p>
        </w:tc>
        <w:tc>
          <w:tcPr>
            <w:tcW w:type="dxa" w:w="200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B5E20"/>
                <w:sz w:val="19"/>
                <w:szCs w:val="19"/>
              </w:rPr>
              <w:t xml:space="preserve">0 incidencias críticas</w:t>
            </w:r>
          </w:p>
        </w:tc>
        <w:tc>
          <w:tcPr>
            <w:tcW w:type="dxa" w:w="126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546E7A"/>
                <w:sz w:val="19"/>
                <w:szCs w:val="19"/>
              </w:rPr>
              <w:t xml:space="preserve">Continuo</w:t>
            </w:r>
          </w:p>
        </w:tc>
      </w:tr>
      <w:tr>
        <w:tc>
          <w:tcPr>
            <w:tcW w:type="dxa" w:w="280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bCs/>
                <w:color w:val="1A1A1A"/>
                <w:sz w:val="19"/>
                <w:szCs w:val="19"/>
              </w:rPr>
              <w:t xml:space="preserve">Productividad percibida</w:t>
            </w:r>
          </w:p>
        </w:tc>
        <w:tc>
          <w:tcPr>
            <w:tcW w:type="dxa" w:w="230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Autoevaluación por departamento</w:t>
            </w:r>
          </w:p>
        </w:tc>
        <w:tc>
          <w:tcPr>
            <w:tcW w:type="dxa" w:w="200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B5E20"/>
                <w:sz w:val="19"/>
                <w:szCs w:val="19"/>
              </w:rPr>
              <w:t xml:space="preserve">Mejora &gt; 25%</w:t>
            </w:r>
          </w:p>
        </w:tc>
        <w:tc>
          <w:tcPr>
            <w:tcW w:type="dxa" w:w="126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546E7A"/>
                <w:sz w:val="19"/>
                <w:szCs w:val="19"/>
              </w:rPr>
              <w:t xml:space="preserve">Trimestral</w:t>
            </w:r>
          </w:p>
        </w:tc>
      </w:tr>
    </w:tbl>
    <w:p>
      <w:pPr>
        <w:spacing w:after="60" w:before="0"/>
      </w:pPr>
      <w:r>
        <w:t xml:space="preserve"/>
      </w:r>
    </w:p>
    <w:p>
      <w:pPr>
        <w:spacing w:after="100" w:before="0"/>
        <w:jc w:val="both"/>
      </w:pPr>
      <w:r>
        <w:rPr>
          <w:rFonts w:ascii="Calibri" w:cs="Calibri" w:eastAsia="Calibri" w:hAnsi="Calibri"/>
          <w:color w:val="1A1A1A"/>
          <w:sz w:val="20"/>
          <w:szCs w:val="20"/>
        </w:rPr>
        <w:t xml:space="preserve">El dashboard de seguimiento estará disponible en Power BI, con datos procedentes del portal de administración de Microsoft 365 y las encuestas periódicas al equipo.</w:t>
      </w:r>
    </w:p>
    <w:p>
      <w:pPr>
        <w:spacing w:after="80" w:before="0"/>
      </w:pPr>
      <w:r>
        <w:t xml:space="preserve"/>
      </w:r>
    </w:p>
    <w:p>
      <w:pPr>
        <w:pStyle w:val="Heading1"/>
        <w:pBdr>
          <w:bottom w:val="single" w:color="1565C0" w:sz="6" w:space="4"/>
        </w:pBdr>
        <w:spacing w:after="100" w:before="280"/>
      </w:pPr>
      <w:r>
        <w:rPr>
          <w:rFonts w:ascii="Calibri" w:cs="Calibri" w:eastAsia="Calibri" w:hAnsi="Calibri"/>
          <w:b/>
          <w:bCs/>
          <w:color w:val="0D2B4E"/>
          <w:sz w:val="26"/>
          <w:szCs w:val="26"/>
        </w:rPr>
        <w:t xml:space="preserve">12. Próximos Pasos</w:t>
      </w:r>
    </w:p>
    <w:p>
      <w:pPr>
        <w:spacing w:after="100" w:before="0"/>
        <w:jc w:val="both"/>
      </w:pPr>
      <w:r>
        <w:rPr>
          <w:rFonts w:ascii="Calibri" w:cs="Calibri" w:eastAsia="Calibri" w:hAnsi="Calibri"/>
          <w:color w:val="1A1A1A"/>
          <w:sz w:val="20"/>
          <w:szCs w:val="20"/>
        </w:rPr>
        <w:t xml:space="preserve">Para avanzar hacia la Fase 0 del proyecto, se propone completar las siguientes acciones en las próximas cuatro semanas:</w:t>
      </w:r>
    </w:p>
    <w:p>
      <w:pPr>
        <w:spacing w:after="40" w:before="0"/>
      </w:pPr>
      <w:r>
        <w:t xml:space="preserve"/>
      </w:r>
    </w:p>
    <w:p>
      <w:pPr>
        <w:pStyle w:val="ListParagraph"/>
        <w:numPr>
          <w:ilvl w:val="0"/>
          <w:numId w:val="3"/>
        </w:numPr>
        <w:spacing w:after="60" w:before="0"/>
        <w:jc w:val="both"/>
      </w:pPr>
      <w:r>
        <w:rPr>
          <w:rFonts w:ascii="Calibri" w:cs="Calibri" w:eastAsia="Calibri" w:hAnsi="Calibri"/>
          <w:color w:val="1A1A1A"/>
          <w:sz w:val="20"/>
          <w:szCs w:val="20"/>
        </w:rPr>
        <w:t xml:space="preserve">Aprobación formal de este plan por el Comité Ejecutivo y asignación del presupuesto inicial para licenciamiento y formación.</w:t>
      </w:r>
    </w:p>
    <w:p>
      <w:pPr>
        <w:pStyle w:val="ListParagraph"/>
        <w:numPr>
          <w:ilvl w:val="0"/>
          <w:numId w:val="3"/>
        </w:numPr>
        <w:spacing w:after="60" w:before="0"/>
        <w:jc w:val="both"/>
      </w:pPr>
      <w:r>
        <w:rPr>
          <w:rFonts w:ascii="Calibri" w:cs="Calibri" w:eastAsia="Calibri" w:hAnsi="Calibri"/>
          <w:color w:val="1A1A1A"/>
          <w:sz w:val="20"/>
          <w:szCs w:val="20"/>
        </w:rPr>
        <w:t xml:space="preserve">Designación del responsable de proyecto y los Copilot Champions de los departamentos piloto.</w:t>
      </w:r>
    </w:p>
    <w:p>
      <w:pPr>
        <w:pStyle w:val="ListParagraph"/>
        <w:numPr>
          <w:ilvl w:val="0"/>
          <w:numId w:val="3"/>
        </w:numPr>
        <w:spacing w:after="60" w:before="0"/>
        <w:jc w:val="both"/>
      </w:pPr>
      <w:r>
        <w:rPr>
          <w:rFonts w:ascii="Calibri" w:cs="Calibri" w:eastAsia="Calibri" w:hAnsi="Calibri"/>
          <w:color w:val="1A1A1A"/>
          <w:sz w:val="20"/>
          <w:szCs w:val="20"/>
        </w:rPr>
        <w:t xml:space="preserve">Auditoría del estado actual de licencias Microsoft 365 y revisión de compatibilidad con Copilot (requisitos de licenciamiento M365 E3/E5).</w:t>
      </w:r>
    </w:p>
    <w:p>
      <w:pPr>
        <w:pStyle w:val="ListParagraph"/>
        <w:numPr>
          <w:ilvl w:val="0"/>
          <w:numId w:val="3"/>
        </w:numPr>
        <w:spacing w:after="60" w:before="0"/>
        <w:jc w:val="both"/>
      </w:pPr>
      <w:r>
        <w:rPr>
          <w:rFonts w:ascii="Calibri" w:cs="Calibri" w:eastAsia="Calibri" w:hAnsi="Calibri"/>
          <w:color w:val="1A1A1A"/>
          <w:sz w:val="20"/>
          <w:szCs w:val="20"/>
        </w:rPr>
        <w:t xml:space="preserve">Publicación y comunicación de la Política Interna de Uso de IA a toda la plantilla, con recogida de acuses de recibo en el portal de RRHH.</w:t>
      </w:r>
    </w:p>
    <w:p>
      <w:pPr>
        <w:pStyle w:val="ListParagraph"/>
        <w:numPr>
          <w:ilvl w:val="0"/>
          <w:numId w:val="3"/>
        </w:numPr>
        <w:spacing w:after="60" w:before="0"/>
        <w:jc w:val="both"/>
      </w:pPr>
      <w:r>
        <w:rPr>
          <w:rFonts w:ascii="Calibri" w:cs="Calibri" w:eastAsia="Calibri" w:hAnsi="Calibri"/>
          <w:color w:val="1A1A1A"/>
          <w:sz w:val="20"/>
          <w:szCs w:val="20"/>
        </w:rPr>
        <w:t xml:space="preserve">Configuración del entorno de pruebas en el tenant corporativo y habilitación de Copilot para el grupo piloto inicial.</w:t>
      </w:r>
    </w:p>
    <w:p>
      <w:pPr>
        <w:pStyle w:val="ListParagraph"/>
        <w:numPr>
          <w:ilvl w:val="0"/>
          <w:numId w:val="3"/>
        </w:numPr>
        <w:spacing w:after="60" w:before="0"/>
        <w:jc w:val="both"/>
      </w:pPr>
      <w:r>
        <w:rPr>
          <w:rFonts w:ascii="Calibri" w:cs="Calibri" w:eastAsia="Calibri" w:hAnsi="Calibri"/>
          <w:color w:val="1A1A1A"/>
          <w:sz w:val="20"/>
          <w:szCs w:val="20"/>
        </w:rPr>
        <w:t xml:space="preserve">Medición del baseline de productividad (encuesta inicial y análisis de métricas de M365) para disponer de datos de comparación al cierre del piloto.</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B4E" w:val="clear"/>
            <w:tcMar>
              <w:top w:type="dxa" w:w="160"/>
              <w:left w:type="dxa" w:w="200"/>
              <w:bottom w:type="dxa" w:w="160"/>
              <w:right w:type="dxa" w:w="200"/>
            </w:tcMar>
          </w:tcPr>
          <w:p>
            <w:pPr>
              <w:spacing w:after="60" w:before="0"/>
              <w:jc w:val="center"/>
            </w:pPr>
            <w:r>
              <w:rPr>
                <w:rFonts w:ascii="Calibri" w:cs="Calibri" w:eastAsia="Calibri" w:hAnsi="Calibri"/>
                <w:b/>
                <w:bCs/>
                <w:i/>
                <w:iCs/>
                <w:color w:val="FFFFFF"/>
                <w:sz w:val="22"/>
                <w:szCs w:val="22"/>
              </w:rPr>
              <w:t xml:space="preserve">La transformación digital no es una meta, es un modo de operar.</w:t>
            </w:r>
          </w:p>
          <w:p>
            <w:pPr>
              <w:spacing w:after="0" w:before="0"/>
              <w:jc w:val="center"/>
            </w:pPr>
            <w:r>
              <w:rPr>
                <w:rFonts w:ascii="Calibri" w:cs="Calibri" w:eastAsia="Calibri" w:hAnsi="Calibri"/>
                <w:color w:val="90CAF9"/>
                <w:sz w:val="20"/>
                <w:szCs w:val="20"/>
              </w:rPr>
              <w:t xml:space="preserve">Este plan es el primer paso de un recorrido que construimos juntos.</w:t>
            </w:r>
          </w:p>
        </w:tc>
      </w:tr>
    </w:tbl>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1565C0" w:sz="1"/>
              <w:left w:val="single" w:color="1565C0" w:sz="1"/>
              <w:bottom w:val="single" w:color="1565C0" w:sz="1"/>
              <w:right w:val="single" w:color="1565C0" w:sz="1"/>
            </w:tcBorders>
            <w:shd w:fill="1565C0" w:val="clear"/>
            <w:tcMar>
              <w:top w:type="dxa" w:w="90"/>
              <w:left w:type="dxa" w:w="140"/>
              <w:bottom w:type="dxa" w:w="90"/>
              <w:right w:type="dxa" w:w="140"/>
            </w:tcMar>
            <w:vAlign w:val="center"/>
          </w:tcPr>
          <w:p>
            <w:pPr>
              <w:spacing w:after="0" w:before="0"/>
              <w:jc w:val="center"/>
            </w:pPr>
            <w:r>
              <w:rPr>
                <w:rFonts w:ascii="Calibri" w:cs="Calibri" w:eastAsia="Calibri" w:hAnsi="Calibri"/>
                <w:b/>
                <w:bCs/>
                <w:color w:val="FFFFFF"/>
                <w:sz w:val="19"/>
                <w:szCs w:val="19"/>
              </w:rPr>
              <w:t xml:space="preserve">Elaborado por</w:t>
            </w:r>
          </w:p>
        </w:tc>
        <w:tc>
          <w:tcPr>
            <w:tcW w:type="dxa" w:w="3120"/>
            <w:tcBorders>
              <w:top w:val="single" w:color="1565C0" w:sz="1"/>
              <w:left w:val="single" w:color="1565C0" w:sz="1"/>
              <w:bottom w:val="single" w:color="1565C0" w:sz="1"/>
              <w:right w:val="single" w:color="1565C0" w:sz="1"/>
            </w:tcBorders>
            <w:shd w:fill="1565C0" w:val="clear"/>
            <w:tcMar>
              <w:top w:type="dxa" w:w="90"/>
              <w:left w:type="dxa" w:w="140"/>
              <w:bottom w:type="dxa" w:w="90"/>
              <w:right w:type="dxa" w:w="140"/>
            </w:tcMar>
            <w:vAlign w:val="center"/>
          </w:tcPr>
          <w:p>
            <w:pPr>
              <w:spacing w:after="0" w:before="0"/>
              <w:jc w:val="center"/>
            </w:pPr>
            <w:r>
              <w:rPr>
                <w:rFonts w:ascii="Calibri" w:cs="Calibri" w:eastAsia="Calibri" w:hAnsi="Calibri"/>
                <w:b/>
                <w:bCs/>
                <w:color w:val="FFFFFF"/>
                <w:sz w:val="19"/>
                <w:szCs w:val="19"/>
              </w:rPr>
              <w:t xml:space="preserve">Revisado por</w:t>
            </w:r>
          </w:p>
        </w:tc>
        <w:tc>
          <w:tcPr>
            <w:tcW w:type="dxa" w:w="3120"/>
            <w:tcBorders>
              <w:top w:val="single" w:color="1565C0" w:sz="1"/>
              <w:left w:val="single" w:color="1565C0" w:sz="1"/>
              <w:bottom w:val="single" w:color="1565C0" w:sz="1"/>
              <w:right w:val="single" w:color="1565C0" w:sz="1"/>
            </w:tcBorders>
            <w:shd w:fill="1565C0" w:val="clear"/>
            <w:tcMar>
              <w:top w:type="dxa" w:w="90"/>
              <w:left w:type="dxa" w:w="140"/>
              <w:bottom w:type="dxa" w:w="90"/>
              <w:right w:type="dxa" w:w="140"/>
            </w:tcMar>
            <w:vAlign w:val="center"/>
          </w:tcPr>
          <w:p>
            <w:pPr>
              <w:spacing w:after="0" w:before="0"/>
              <w:jc w:val="center"/>
            </w:pPr>
            <w:r>
              <w:rPr>
                <w:rFonts w:ascii="Calibri" w:cs="Calibri" w:eastAsia="Calibri" w:hAnsi="Calibri"/>
                <w:b/>
                <w:bCs/>
                <w:color w:val="FFFFFF"/>
                <w:sz w:val="19"/>
                <w:szCs w:val="19"/>
              </w:rPr>
              <w:t xml:space="preserve">Aprobado por</w:t>
            </w:r>
          </w:p>
        </w:tc>
      </w:tr>
      <w:tr>
        <w:tc>
          <w:tcPr>
            <w:tcW w:type="dxa" w:w="312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Dir. Transformación Digital
_____________________</w:t>
            </w:r>
          </w:p>
        </w:tc>
        <w:tc>
          <w:tcPr>
            <w:tcW w:type="dxa" w:w="312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Director/a de IT
_____________________</w:t>
            </w:r>
          </w:p>
        </w:tc>
        <w:tc>
          <w:tcPr>
            <w:tcW w:type="dxa" w:w="312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1A1A1A"/>
                <w:sz w:val="19"/>
                <w:szCs w:val="19"/>
              </w:rPr>
              <w:t xml:space="preserve">Director/a General
_____________________</w:t>
            </w:r>
          </w:p>
        </w:tc>
      </w:tr>
      <w:tr>
        <w:tc>
          <w:tcPr>
            <w:tcW w:type="dxa" w:w="312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546E7A"/>
                <w:sz w:val="19"/>
                <w:szCs w:val="19"/>
              </w:rPr>
              <w:t xml:space="preserve">Fecha: ___/___/2025</w:t>
            </w:r>
          </w:p>
        </w:tc>
        <w:tc>
          <w:tcPr>
            <w:tcW w:type="dxa" w:w="3120"/>
            <w:tcBorders>
              <w:top w:val="single" w:color="D0D7DE" w:sz="1"/>
              <w:left w:val="single" w:color="D0D7DE" w:sz="1"/>
              <w:bottom w:val="single" w:color="D0D7DE" w:sz="1"/>
              <w:right w:val="single" w:color="D0D7DE" w:sz="1"/>
            </w:tcBorders>
            <w:shd w:fill="FFFFFF"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546E7A"/>
                <w:sz w:val="19"/>
                <w:szCs w:val="19"/>
              </w:rPr>
              <w:t xml:space="preserve">Fecha: ___/___/2025</w:t>
            </w:r>
          </w:p>
        </w:tc>
        <w:tc>
          <w:tcPr>
            <w:tcW w:type="dxa" w:w="3120"/>
            <w:tcBorders>
              <w:top w:val="single" w:color="D0D7DE" w:sz="1"/>
              <w:left w:val="single" w:color="D0D7DE" w:sz="1"/>
              <w:bottom w:val="single" w:color="D0D7DE" w:sz="1"/>
              <w:right w:val="single" w:color="D0D7DE" w:sz="1"/>
            </w:tcBorders>
            <w:shd w:fill="F1F5F9" w:val="clear"/>
            <w:tcMar>
              <w:top w:type="dxa" w:w="80"/>
              <w:left w:type="dxa" w:w="140"/>
              <w:bottom w:type="dxa" w:w="80"/>
              <w:right w:type="dxa" w:w="140"/>
            </w:tcMar>
            <w:vAlign w:val="top"/>
          </w:tcPr>
          <w:p>
            <w:pPr>
              <w:spacing w:after="0" w:before="0"/>
              <w:jc w:val="left"/>
            </w:pPr>
            <w:r>
              <w:rPr>
                <w:rFonts w:ascii="Calibri" w:cs="Calibri" w:eastAsia="Calibri" w:hAnsi="Calibri"/>
                <w:b w:val="false"/>
                <w:bCs w:val="false"/>
                <w:color w:val="546E7A"/>
                <w:sz w:val="19"/>
                <w:szCs w:val="19"/>
              </w:rPr>
              <w:t xml:space="preserve">Fecha: ___/___/2025</w:t>
            </w:r>
          </w:p>
        </w:tc>
      </w:tr>
    </w:tbl>
    <w:sectPr>
      <w:headerReference w:type="default" r:id="rId7"/>
      <w:footerReference w:type="default" r:id="rId8"/>
      <w:pgSz w:w="11906" w:h="16838" w:orient="portrait"/>
      <w:pgMar w:top="1200" w:right="1134" w:bottom="1000"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565C0" w:sz="4" w:space="4"/>
      </w:pBdr>
      <w:tabs>
        <w:tab w:val="right" w:pos="9360"/>
      </w:tabs>
      <w:spacing w:after="0" w:before="60"/>
    </w:pPr>
    <w:r>
      <w:rPr>
        <w:rFonts w:ascii="Calibri" w:cs="Calibri" w:eastAsia="Calibri" w:hAnsi="Calibri"/>
        <w:color w:val="546E7A"/>
        <w:sz w:val="16"/>
        <w:szCs w:val="16"/>
      </w:rPr>
      <w:t xml:space="preserve">Versión 1.0  |  Mayo 2025  |  Dirección de Transformación Digital</w:t>
    </w:r>
    <w:r>
      <w:t xml:space="preserve">	</w:t>
    </w:r>
    <w:r>
      <w:rPr>
        <w:rFonts w:ascii="Calibri" w:cs="Calibri" w:eastAsia="Calibri" w:hAnsi="Calibri"/>
        <w:color w:val="546E7A"/>
        <w:sz w:val="16"/>
        <w:szCs w:val="16"/>
      </w:rPr>
      <w:t xml:space="preserve">Página </w:t>
    </w:r>
    <w:r>
      <w:rPr>
        <w:rFonts w:ascii="Calibri" w:cs="Calibri" w:eastAsia="Calibri" w:hAnsi="Calibri"/>
        <w:color w:val="0D2B4E"/>
        <w:sz w:val="16"/>
        <w:szCs w:val="16"/>
      </w:rPr>
      <w:fldChar w:fldCharType="begin"/>
    </w:r>
    <w:r>
      <w:rPr>
        <w:rFonts w:ascii="Calibri" w:cs="Calibri" w:eastAsia="Calibri" w:hAnsi="Calibri"/>
        <w:color w:val="0D2B4E"/>
        <w:sz w:val="16"/>
        <w:szCs w:val="16"/>
      </w:rPr>
      <w:instrText xml:space="preserve"> PAGE </w:instrText>
    </w:r>
    <w:r>
      <w:rPr>
        <w:rFonts w:ascii="Calibri" w:cs="Calibri" w:eastAsia="Calibri" w:hAnsi="Calibri"/>
        <w:color w:val="0D2B4E"/>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D2B4E" w:sz="8" w:space="4"/>
      </w:pBdr>
      <w:tabs>
        <w:tab w:val="right" w:pos="9360"/>
      </w:tabs>
      <w:spacing w:after="80" w:before="0"/>
    </w:pPr>
    <w:r>
      <w:rPr>
        <w:rFonts w:ascii="Calibri" w:cs="Calibri" w:eastAsia="Calibri" w:hAnsi="Calibri"/>
        <w:b/>
        <w:bCs/>
        <w:color w:val="0D2B4E"/>
        <w:sz w:val="16"/>
        <w:szCs w:val="16"/>
      </w:rPr>
      <w:t xml:space="preserve">Plan de Implantación de IA Corporativa</w:t>
    </w:r>
    <w:r>
      <w:rPr>
        <w:rFonts w:ascii="Calibri" w:cs="Calibri" w:eastAsia="Calibri" w:hAnsi="Calibri"/>
        <w:sz w:val="16"/>
        <w:szCs w:val="16"/>
      </w:rPr>
      <w:t xml:space="preserve">	</w:t>
    </w:r>
    <w:r>
      <w:rPr>
        <w:rFonts w:ascii="Calibri" w:cs="Calibri" w:eastAsia="Calibri" w:hAnsi="Calibri"/>
        <w:color w:val="546E7A"/>
        <w:sz w:val="16"/>
        <w:szCs w:val="16"/>
      </w:rPr>
      <w:t xml:space="preserve">CONFIDENCIAL · USO INTERNO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abstractNum w:abstractNumId="3" w15:restartNumberingAfterBreak="0">
    <w:multiLevelType w:val="hybridMultilevel"/>
    <w:lvl w:ilvl="0" w15:tentative="1">
      <w:start w:val="1"/>
      <w:numFmt w:val="decimal"/>
      <w:lvlText w:val="%1."/>
      <w:lvlJc w:val="left"/>
      <w:pPr>
        <w:ind w:left="60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280"/>
      <w:outlineLvl w:val="0"/>
    </w:pPr>
    <w:rPr>
      <w:rFonts w:ascii="Calibri" w:cs="Calibri" w:eastAsia="Calibri" w:hAnsi="Calibri"/>
      <w:b/>
      <w:bCs/>
      <w:color w:val="0D2B4E"/>
      <w:sz w:val="26"/>
      <w:szCs w:val="26"/>
    </w:rPr>
  </w:style>
  <w:style w:type="paragraph" w:styleId="Heading2">
    <w:name w:val="Heading 2"/>
    <w:basedOn w:val="Normal"/>
    <w:next w:val="Normal"/>
    <w:qFormat/>
    <w:pPr>
      <w:spacing w:after="80" w:before="200"/>
      <w:outlineLvl w:val="1"/>
    </w:pPr>
    <w:rPr>
      <w:rFonts w:ascii="Calibri" w:cs="Calibri" w:eastAsia="Calibri" w:hAnsi="Calibri"/>
      <w:b/>
      <w:bCs/>
      <w:color w:val="1565C0"/>
      <w:sz w:val="22"/>
      <w:szCs w:val="22"/>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otnotes" Target="footnote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customXml" Target="../customXml/item1.xml"/><Relationship Id="rId4" Type="http://schemas.openxmlformats.org/officeDocument/2006/relationships/endnotes" Target="endnotes.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5A141667DB55541AE9BD05D8EEED319" ma:contentTypeVersion="10" ma:contentTypeDescription="Crear nuevo documento." ma:contentTypeScope="" ma:versionID="ebc80c0f73b964f45b3e9030a665a258">
  <xsd:schema xmlns:xsd="http://www.w3.org/2001/XMLSchema" xmlns:xs="http://www.w3.org/2001/XMLSchema" xmlns:p="http://schemas.microsoft.com/office/2006/metadata/properties" xmlns:ns2="d297e347-4daf-4140-bca2-62069c8f36f6" xmlns:ns3="477e2751-c0d9-469c-9ec2-39f305ecc0bb" targetNamespace="http://schemas.microsoft.com/office/2006/metadata/properties" ma:root="true" ma:fieldsID="6cbb88e483d9fc4a2a7b0ee233e11981" ns2:_="" ns3:_="">
    <xsd:import namespace="d297e347-4daf-4140-bca2-62069c8f36f6"/>
    <xsd:import namespace="477e2751-c0d9-469c-9ec2-39f305ecc0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7e347-4daf-4140-bca2-62069c8f3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5eee2df-ca6c-4b8a-871b-03e7037456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e2751-c0d9-469c-9ec2-39f305ecc0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cd9080-abdc-4bfb-a7aa-bae0b3c3ed72}" ma:internalName="TaxCatchAll" ma:showField="CatchAllData" ma:web="477e2751-c0d9-469c-9ec2-39f305ecc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7e347-4daf-4140-bca2-62069c8f36f6">
      <Terms xmlns="http://schemas.microsoft.com/office/infopath/2007/PartnerControls"/>
    </lcf76f155ced4ddcb4097134ff3c332f>
    <TaxCatchAll xmlns="477e2751-c0d9-469c-9ec2-39f305ecc0bb" xsi:nil="true"/>
  </documentManagement>
</p:properties>
</file>

<file path=customXml/itemProps1.xml><?xml version="1.0" encoding="utf-8"?>
<ds:datastoreItem xmlns:ds="http://schemas.openxmlformats.org/officeDocument/2006/customXml" ds:itemID="{245B1091-456F-4ABD-A0B2-78495156DCBE}"/>
</file>

<file path=customXml/itemProps2.xml><?xml version="1.0" encoding="utf-8"?>
<ds:datastoreItem xmlns:ds="http://schemas.openxmlformats.org/officeDocument/2006/customXml" ds:itemID="{C3619266-CF3B-4047-B9C1-5FFCD0F269D6}"/>
</file>

<file path=customXml/itemProps3.xml><?xml version="1.0" encoding="utf-8"?>
<ds:datastoreItem xmlns:ds="http://schemas.openxmlformats.org/officeDocument/2006/customXml" ds:itemID="{1D482C5A-971E-428F-ABB8-85FD8881F63D}"/>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2026-05-14T21:43:45Z</dcterms:created>
  <dcterms:modified xsi:type="dcterms:W3CDTF">2026-05-14T21:43:45Z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0x010100D5A141667DB55541AE9BD05D8EEED319</vt:lpwstr>
  </property>
  <property fmtid="{D5CDD505-2E9C-101B-9397-08002B2CF9AE}" pid="4" name="docLang">
    <vt:lpwstr>es</vt:lpwstr>
  </property>
  <property fmtid="{D5CDD505-2E9C-101B-9397-08002B2CF9AE}" pid="5" name="MediaServiceImageTags">
    <vt:lpwstr/>
  </property>
</Properties>
</file>