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sz w:val="44"/>
        </w:rPr>
        <w:t>Informe Técnico Preliminar — Parada Técnica LT-04</w:t>
      </w:r>
    </w:p>
    <w:p>
      <w:r>
        <w:t>El presente informe recoge el estado técnico preliminar asociado a la parada programada de la línea industrial LT-04 prevista para el mes de junio de 2026. El objetivo principal de la intervención es realizar tareas de mantenimiento preventivo, actualización de sistemas críticos y validación operativa antes del reinicio de producción.</w:t>
      </w:r>
    </w:p>
    <w:p>
      <w:pPr>
        <w:pStyle w:val="Heading2"/>
      </w:pPr>
      <w:r>
        <w:t>1. Situación actual de la línea LT-04</w:t>
      </w:r>
    </w:p>
    <w:p>
      <w:r>
        <w:t>Durante las últimas revisiones realizadas por el área de mantenimiento se han detectado diversas incidencias relacionadas con el sistema hidráulico principal, especialmente en las válvulas de regulación de presión utilizadas en los módulos de enfriamiento.</w:t>
      </w:r>
    </w:p>
    <w:p>
      <w:r>
        <w:t>El proveedor principal ha comunicado un retraso estimado de 72 horas en la entrega de componentes críticos, lo que podría afectar al cronograma inicialmente aprobado.</w:t>
      </w:r>
    </w:p>
    <w:p>
      <w:r>
        <w:t>Adicionalmente, el departamento de automatización ha identificado posibles incompatibilidades temporales entre el nuevo firmware del PLC industrial y parte de la sensórica instalada durante la actualización de 2022.</w:t>
      </w:r>
    </w:p>
    <w:p>
      <w:pPr>
        <w:pStyle w:val="Heading2"/>
      </w:pPr>
      <w:r>
        <w:t>2. Riesgos técnicos identificados</w:t>
      </w:r>
    </w:p>
    <w:p>
      <w:pPr>
        <w:pStyle w:val="ListBullet"/>
      </w:pPr>
      <w:r>
        <w:t>Incremento del tiempo de parada industrial respecto a la previsión inicial.</w:t>
      </w:r>
    </w:p>
    <w:p>
      <w:pPr>
        <w:pStyle w:val="ListBullet"/>
      </w:pPr>
      <w:r>
        <w:t>Riesgo de incompatibilidad temporal en sistemas de automatización.</w:t>
      </w:r>
    </w:p>
    <w:p>
      <w:pPr>
        <w:pStyle w:val="ListBullet"/>
      </w:pPr>
      <w:r>
        <w:t>Impacto económico derivado de retrasos de proveedor externo.</w:t>
      </w:r>
    </w:p>
    <w:p>
      <w:pPr>
        <w:pStyle w:val="ListBullet"/>
      </w:pPr>
      <w:r>
        <w:t>Necesidad de validación completa antes del reinicio operativo.</w:t>
      </w:r>
    </w:p>
    <w:p>
      <w:pPr>
        <w:pStyle w:val="ListBullet"/>
      </w:pPr>
      <w:r>
        <w:t>Posibles desviaciones presupuestarias superiores al 10%.</w:t>
      </w:r>
    </w:p>
    <w:p>
      <w:pPr>
        <w:pStyle w:val="Heading2"/>
      </w:pPr>
      <w:r>
        <w:t>3. Coordinación operativa necesaria</w:t>
      </w:r>
    </w:p>
    <w:p>
      <w:r>
        <w:t>Será necesaria una coordinación diaria entre mantenimiento, operaciones, automatización, prevención y proveedor externo para garantizar el cumplimiento del calendario previsto.</w:t>
      </w:r>
    </w:p>
    <w:p>
      <w:r>
        <w:t>La dirección industrial ha solicitado seguimiento continuo de riesgos y desviaciones económicas durante toda la intervención.</w:t>
      </w:r>
    </w:p>
    <w:p>
      <w:pPr>
        <w:pStyle w:val="Heading2"/>
      </w:pPr>
      <w:r>
        <w:t>4. Recomendaciones preliminares</w:t>
      </w:r>
    </w:p>
    <w:p>
      <w:pPr>
        <w:pStyle w:val="ListBullet"/>
      </w:pPr>
      <w:r>
        <w:t>Validar disponibilidad de componentes antes del inicio de la parada.</w:t>
      </w:r>
    </w:p>
    <w:p>
      <w:pPr>
        <w:pStyle w:val="ListBullet"/>
      </w:pPr>
      <w:r>
        <w:t>Mantener reuniones diarias de seguimiento operativo.</w:t>
      </w:r>
    </w:p>
    <w:p>
      <w:pPr>
        <w:pStyle w:val="ListBullet"/>
      </w:pPr>
      <w:r>
        <w:t>Actualizar cronograma compartido entre departamentos.</w:t>
      </w:r>
    </w:p>
    <w:p>
      <w:pPr>
        <w:pStyle w:val="ListBullet"/>
      </w:pPr>
      <w:r>
        <w:t>Documentar todas las incidencias detectadas.</w:t>
      </w:r>
    </w:p>
    <w:p>
      <w:pPr>
        <w:pStyle w:val="ListBullet"/>
      </w:pPr>
      <w:r>
        <w:t>Preparar informe ejecutivo final para dirección industrial.</w:t>
      </w:r>
    </w:p>
    <w:p>
      <w:pPr>
        <w:pStyle w:val="Heading2"/>
      </w:pPr>
      <w:r>
        <w:t>5. Conclusión</w:t>
      </w:r>
    </w:p>
    <w:p>
      <w:r>
        <w:t>La parada técnica de la línea LT-04 presenta actualmente un escenario controlado, aunque existen riesgos técnicos y operativos que deberán ser monitorizados durante toda la intervención para evitar impacto sobre la planificación industrial.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5A141667DB55541AE9BD05D8EEED319" ma:contentTypeVersion="10" ma:contentTypeDescription="Crear nuevo documento." ma:contentTypeScope="" ma:versionID="ebc80c0f73b964f45b3e9030a665a258">
  <xsd:schema xmlns:xsd="http://www.w3.org/2001/XMLSchema" xmlns:xs="http://www.w3.org/2001/XMLSchema" xmlns:p="http://schemas.microsoft.com/office/2006/metadata/properties" xmlns:ns2="d297e347-4daf-4140-bca2-62069c8f36f6" xmlns:ns3="477e2751-c0d9-469c-9ec2-39f305ecc0bb" targetNamespace="http://schemas.microsoft.com/office/2006/metadata/properties" ma:root="true" ma:fieldsID="6cbb88e483d9fc4a2a7b0ee233e11981" ns2:_="" ns3:_="">
    <xsd:import namespace="d297e347-4daf-4140-bca2-62069c8f36f6"/>
    <xsd:import namespace="477e2751-c0d9-469c-9ec2-39f305ecc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e347-4daf-4140-bca2-62069c8f3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5eee2df-ca6c-4b8a-871b-03e7037456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2751-c0d9-469c-9ec2-39f305ecc0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d9080-abdc-4bfb-a7aa-bae0b3c3ed72}" ma:internalName="TaxCatchAll" ma:showField="CatchAllData" ma:web="477e2751-c0d9-469c-9ec2-39f305ecc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97e347-4daf-4140-bca2-62069c8f36f6">
      <Terms xmlns="http://schemas.microsoft.com/office/infopath/2007/PartnerControls"/>
    </lcf76f155ced4ddcb4097134ff3c332f>
    <TaxCatchAll xmlns="477e2751-c0d9-469c-9ec2-39f305ecc0b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F04E52E-9F3F-45B3-B4DC-2478117D7248}"/>
</file>

<file path=customXml/itemProps3.xml><?xml version="1.0" encoding="utf-8"?>
<ds:datastoreItem xmlns:ds="http://schemas.openxmlformats.org/officeDocument/2006/customXml" ds:itemID="{9A2F4C6C-0782-4F40-9A8B-C85F394510DC}"/>
</file>

<file path=customXml/itemProps4.xml><?xml version="1.0" encoding="utf-8"?>
<ds:datastoreItem xmlns:ds="http://schemas.openxmlformats.org/officeDocument/2006/customXml" ds:itemID="{EAB0CB78-CDDF-4FE9-9020-628EF2F9F777}"/>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0x010100D5A141667DB55541AE9BD05D8EEED319</vt:lpwstr>
  </property>
</Properties>
</file>